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СОВЕТ ДЕПУТАТОВ ЮЖНО - СТЕПНОГО СЕЛЬСКОГО ПОСЕЛЕНИЯ </w:t>
      </w:r>
    </w:p>
    <w:p>
      <w:pPr>
        <w:pStyle w:val="Style16"/>
        <w:spacing w:before="0" w:after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КАРТАЛИНСКИЙ МУНИЦИПАЛЬНЫЙ РАЙОН</w:t>
      </w:r>
    </w:p>
    <w:p>
      <w:pPr>
        <w:pStyle w:val="Style16"/>
        <w:spacing w:before="0" w:after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ЧЕЛЯБИНСКАЯ ОБЛАСТЬ</w:t>
      </w:r>
    </w:p>
    <w:p>
      <w:pPr>
        <w:pStyle w:val="Style16"/>
        <w:spacing w:lineRule="auto" w:line="276" w:before="0" w:after="0"/>
        <w:jc w:val="center"/>
        <w:rPr/>
      </w:pPr>
      <w:r>
        <w:rPr/>
        <w:t> </w:t>
      </w:r>
    </w:p>
    <w:p>
      <w:pPr>
        <w:pStyle w:val="Style16"/>
        <w:spacing w:lineRule="auto" w:line="276" w:before="0" w:after="0"/>
        <w:jc w:val="center"/>
        <w:rPr/>
      </w:pPr>
      <w:r>
        <w:rPr>
          <w:rFonts w:ascii="Times New Roman" w:hAnsi="Times New Roman"/>
          <w:b/>
          <w:sz w:val="20"/>
        </w:rPr>
        <w:t>РЕШЕНИЕ</w:t>
      </w:r>
      <w:r>
        <w:rPr/>
        <w:t xml:space="preserve"> </w:t>
      </w:r>
    </w:p>
    <w:p>
      <w:pPr>
        <w:pStyle w:val="Style16"/>
        <w:spacing w:lineRule="auto" w:line="276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</w:t>
      </w:r>
    </w:p>
    <w:p>
      <w:pPr>
        <w:pStyle w:val="Style16"/>
        <w:spacing w:lineRule="auto" w:line="276" w:before="0" w:after="0"/>
        <w:rPr/>
      </w:pPr>
      <w:r>
        <w:rPr/>
        <w:t> </w:t>
      </w:r>
    </w:p>
    <w:p>
      <w:pPr>
        <w:pStyle w:val="Style16"/>
        <w:spacing w:lineRule="auto" w:line="276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 03» апреля 2017 г.        №  7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внесения изменений</w:t>
      </w:r>
    </w:p>
    <w:p>
      <w:pPr>
        <w:pStyle w:val="Style16"/>
        <w:spacing w:before="0" w:after="0"/>
        <w:rPr/>
      </w:pPr>
      <w:r>
        <w:rPr/>
        <w:t> </w:t>
      </w:r>
      <w:r>
        <w:rPr>
          <w:rFonts w:ascii="Times New Roman" w:hAnsi="Times New Roman"/>
          <w:sz w:val="20"/>
        </w:rPr>
        <w:t>в правила землепользования и застройки</w:t>
      </w:r>
    </w:p>
    <w:p>
      <w:pPr>
        <w:pStyle w:val="Style16"/>
        <w:spacing w:before="0" w:after="0"/>
        <w:rPr/>
      </w:pPr>
      <w:r>
        <w:rPr/>
        <w:t> </w:t>
      </w:r>
      <w:r>
        <w:rPr>
          <w:rFonts w:ascii="Times New Roman" w:hAnsi="Times New Roman"/>
          <w:sz w:val="20"/>
        </w:rPr>
        <w:t>Южно - Степного  сельского поселения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Согласно статьи 32 Градостроительного кодекса РФ, рассмотрев представленный проект изменений в Правила землепользования и застройки Южно - Степного    сельского поселения, утвержденных Решением Совета депутатов Южно - Степного    </w:t>
      </w:r>
      <w:r>
        <w:rPr/>
        <w:t>  </w:t>
      </w:r>
      <w:r>
        <w:rPr>
          <w:rFonts w:ascii="Times New Roman" w:hAnsi="Times New Roman"/>
          <w:sz w:val="20"/>
        </w:rPr>
        <w:t>сельского поселения 19.04.2012 г. № 6  в соответствии с протоколом публичных слушаний по указанному проекту от 19.01.2017  и заключением  по результатам публичных слушаний от  24.01.2017, проводимых Комиссией по подготовке правил землепользования и застройки Карталинского муниципального района в соответствии с распоряжением администрации Карталинского муниципального района от 08.11.2016 г №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758-р «О проведении публичных слушаний по внесению изменений в Правила землепользования и застройки,  руководствуясь Градостроительным кодексом РФ,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  депутатов  Южно - Степного       сельского поселения   РЕШИЛ: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Утвердить изменения в Правила землепользования и застройки Южно - Степного    сельского поселения согласно приложения 1.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Разместить  решение об утверждении внесения  изменений в Правила землепользования и застройки Южно - Степного     сельского поселения на официальном сайте администрации  Южно - Степного     сельского поселения и опубликовать в газете «Карталинская новь».</w:t>
      </w:r>
    </w:p>
    <w:p>
      <w:pPr>
        <w:pStyle w:val="Style16"/>
        <w:spacing w:before="0" w:after="0"/>
        <w:ind w:left="644" w:right="0" w:hanging="0"/>
        <w:rPr/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caps w:val="false"/>
          <w:smallCaps w:val="false"/>
          <w:sz w:val="20"/>
        </w:rPr>
        <w:t xml:space="preserve">        </w:t>
      </w:r>
      <w:r>
        <w:rPr>
          <w:rFonts w:ascii="Times New Roman" w:hAnsi="Times New Roman"/>
          <w:sz w:val="20"/>
        </w:rPr>
        <w:t>Решение вступает в силу со дня его официального опубликования в средствах массовой информации.</w:t>
      </w:r>
    </w:p>
    <w:p>
      <w:pPr>
        <w:pStyle w:val="Style16"/>
        <w:spacing w:before="0" w:after="0"/>
        <w:ind w:left="644" w:right="0" w:hanging="0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 xml:space="preserve">      </w:t>
      </w:r>
      <w:r>
        <w:rPr>
          <w:rFonts w:ascii="Times New Roman" w:hAnsi="Times New Roman"/>
          <w:sz w:val="20"/>
        </w:rPr>
        <w:t>Председатель Совета депутатов</w:t>
      </w:r>
    </w:p>
    <w:p>
      <w:pPr>
        <w:pStyle w:val="Style16"/>
        <w:rPr/>
      </w:pPr>
      <w:r>
        <w:rPr/>
        <w:t xml:space="preserve">      </w:t>
      </w:r>
      <w:r>
        <w:rPr>
          <w:rFonts w:ascii="Times New Roman" w:hAnsi="Times New Roman"/>
          <w:sz w:val="20"/>
        </w:rPr>
        <w:t>Южно - Степного  сельского поселения                                   Ж.Н.Зубкова.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Южно-Степного сельского поселения                          К.К.Баженов.         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                                     </w:t>
      </w:r>
      <w:r>
        <w:rPr>
          <w:rFonts w:ascii="Times New Roman" w:hAnsi="Times New Roman"/>
          <w:sz w:val="20"/>
        </w:rPr>
        <w:t xml:space="preserve">Приложение 1 </w:t>
      </w:r>
    </w:p>
    <w:p>
      <w:pPr>
        <w:pStyle w:val="Style16"/>
        <w:spacing w:before="0" w:after="0"/>
        <w:rPr/>
      </w:pPr>
      <w:r>
        <w:rPr/>
        <w:t>                                                                                                            </w:t>
      </w:r>
      <w:r>
        <w:rPr>
          <w:rFonts w:ascii="Times New Roman" w:hAnsi="Times New Roman"/>
          <w:sz w:val="20"/>
        </w:rPr>
        <w:t>к Решению Совета депутатов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</w:rPr>
        <w:t>Южно - Степного    </w:t>
      </w:r>
      <w:r>
        <w:rPr/>
        <w:t> </w:t>
      </w:r>
      <w:r>
        <w:rPr>
          <w:rFonts w:ascii="Times New Roman" w:hAnsi="Times New Roman"/>
          <w:sz w:val="20"/>
        </w:rPr>
        <w:t>сельского поселения</w:t>
      </w:r>
    </w:p>
    <w:p>
      <w:pPr>
        <w:pStyle w:val="Style16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« 03 » апреля 2017 г. № 7            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Описание  изменений, вносимых в градостроительные  регламенты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Главу 2 раздел  ЖЗ.1 дополнить словами «Ограничения использования земельных участков и объектов капитального строительства отсутствуют»;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Главу 2 раздел  ЖЗ.2 таблицу параметры строительства дополнить пунктами 6, 7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666"/>
        <w:gridCol w:w="1972"/>
      </w:tblGrid>
      <w:tr>
        <w:trPr/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7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Высота зданий: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основных строений количество надземных этажей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2-3</w:t>
            </w:r>
          </w:p>
        </w:tc>
      </w:tr>
      <w:tr>
        <w:trPr/>
        <w:tc>
          <w:tcPr>
            <w:tcW w:w="7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Коэффициент плотности застройки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0.45</w:t>
            </w:r>
          </w:p>
        </w:tc>
      </w:tr>
    </w:tbl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Главу 2 раздел  ЖЗ.3 таблицу параметры строительства дополнить пунктом 8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618"/>
        <w:gridCol w:w="3020"/>
      </w:tblGrid>
      <w:tr>
        <w:trPr/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6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Коэффициент плотности застройки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0.45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Главу 2 раздел  ОД. 1 дополнить следующими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«Параметры использования земельных участков и объектов капитального строительства:</w:t>
      </w:r>
      <w:bookmarkStart w:id="1" w:name="Par1016"/>
      <w:bookmarkStart w:id="2" w:name="Par1101"/>
      <w:bookmarkEnd w:id="1"/>
      <w:bookmarkEnd w:id="2"/>
    </w:p>
    <w:p>
      <w:pPr>
        <w:pStyle w:val="Style16"/>
        <w:spacing w:before="0" w:after="0"/>
        <w:rPr/>
      </w:pPr>
      <w:r>
        <w:rPr/>
        <w:t xml:space="preserve">         </w:t>
      </w:r>
      <w:r>
        <w:rPr>
          <w:rFonts w:ascii="Times New Roman" w:hAnsi="Times New Roman"/>
          <w:sz w:val="20"/>
        </w:rPr>
        <w:t>-  этажность - до 3-х этажей включительно.</w:t>
      </w:r>
    </w:p>
    <w:p>
      <w:pPr>
        <w:pStyle w:val="Style16"/>
        <w:spacing w:before="0" w:after="0"/>
        <w:rPr/>
      </w:pPr>
      <w:r>
        <w:rPr/>
        <w:t xml:space="preserve">        </w:t>
      </w:r>
      <w:r>
        <w:rPr>
          <w:rFonts w:ascii="Times New Roman" w:hAnsi="Times New Roman"/>
          <w:sz w:val="20"/>
        </w:rPr>
        <w:t>- минимальные отступы от границ земельных участков: не менее противопожарного разрыва между зданиями, строениями и сооружениями.</w:t>
      </w:r>
    </w:p>
    <w:p>
      <w:pPr>
        <w:pStyle w:val="Style16"/>
        <w:spacing w:before="0" w:after="0"/>
        <w:rPr/>
      </w:pPr>
      <w:r>
        <w:rPr/>
        <w:t xml:space="preserve">     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«Градостроительство. Планировка и застройка городских и сельских поселений», СП 30-102 «Планировка и застройка территорий малоэтажного строительства», с учетом реально сложившейся застройки и архитектурно-планировочным решением объекта.»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размеры  земельных участков</w:t>
      </w:r>
    </w:p>
    <w:tbl>
      <w:tblPr>
        <w:tblW w:w="828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660"/>
        <w:gridCol w:w="4620"/>
      </w:tblGrid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Магазины, в том числе: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Продовольственные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Непродовольственные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Торговые центры сельских поселений с числом жителей, тыс. чел.: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тыс.чел. – 0,1 - 0,2 га на объект;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 до 3 – 0,2-0,4 га.</w:t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Рыночные комплексы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торговой площади рыночного комплекса: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600 м2 – 14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/на 1 торговое место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св.3000 м2 – 7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 /на 1 торговое место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общественного питания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 мест, при числе мест: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 м2 – 0,2 - 0,25 га на объект;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св.50 до 150 – 0,2-0,15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св.150 – 0,1 га.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бытового обслуживания, в том числе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обслуживания населения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обслуживания предприятий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 рабочих мест для предприятий мощностью: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50 – 0,1-0,2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 до 150 – 0,05-0,08 га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0,5-1,2 га на объект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Прачечные, химчистки в том числе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обслуживания населения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фабрики-прачечные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0,1-0,2 га на объект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0,5-1,0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0,2-0,4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и филиалы банков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кол. операционных касс, га на объект: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кассы – 0,05 га;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касс – 0,4 га.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связи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0,3-0,35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Организации и учреждения управления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60-40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 1 сотрудника: 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Гостиницы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 на одно место при числе мест гостиницы: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100 – 55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 – 30 м2.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Жилищно-эксплуатационные организации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Пункты приема вторичного сырья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га</w:t>
            </w:r>
          </w:p>
        </w:tc>
      </w:tr>
      <w:tr>
        <w:trPr/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Пожарные депо</w:t>
            </w:r>
          </w:p>
        </w:tc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20"/>
              <w:spacing w:before="0" w:after="283"/>
              <w:ind w:left="0" w:right="0"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0,5-2 га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Главу 2 раздел  ОД. 2 дополнить следующими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«2. Вспомогательные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автостоянки для обслуживающих видов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зеленые насаждения, малые архитектурные формы, элементы дизайна и иные объекты благоустройства;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отдельно стоящие, встроенные и пристроенные гаражи для служебных автомобилей;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служебно-бытовые помещения и хозяйственные постройки.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Условно разрешенные виды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временные (нестационарные) объекты»;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Главу 2 раздел  ОД. 2 таблицу параметры строительства дополнить пунктами 8,9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006"/>
        <w:gridCol w:w="1963"/>
        <w:gridCol w:w="2669"/>
      </w:tblGrid>
      <w:tr>
        <w:trPr/>
        <w:tc>
          <w:tcPr>
            <w:tcW w:w="5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46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5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Общеобразовательных учреждений</w:t>
            </w:r>
          </w:p>
        </w:tc>
        <w:tc>
          <w:tcPr>
            <w:tcW w:w="2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Детских дошкольных учреждений</w:t>
            </w:r>
          </w:p>
        </w:tc>
      </w:tr>
      <w:tr>
        <w:trPr/>
        <w:tc>
          <w:tcPr>
            <w:tcW w:w="5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Размер  земельного участка (кол. мест на 1 тыс. чел.)</w:t>
            </w:r>
          </w:p>
        </w:tc>
        <w:tc>
          <w:tcPr>
            <w:tcW w:w="46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место при вместимости учреждений: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 до 400 - 50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 до 500 - 60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500 до 600 - 50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 до 800 - 40 м2;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 до 1100 - 33 м2</w:t>
            </w:r>
          </w:p>
        </w:tc>
      </w:tr>
      <w:tr>
        <w:trPr/>
        <w:tc>
          <w:tcPr>
            <w:tcW w:w="5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Максимальный процент застройки </w:t>
            </w:r>
          </w:p>
        </w:tc>
        <w:tc>
          <w:tcPr>
            <w:tcW w:w="46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</w:tr>
    </w:tbl>
    <w:p>
      <w:pPr>
        <w:pStyle w:val="Style16"/>
        <w:rPr/>
      </w:pPr>
      <w:r>
        <w:rPr>
          <w:rFonts w:ascii="Times New Roman" w:hAnsi="Times New Roman"/>
          <w:sz w:val="20"/>
          <w:u w:val="single"/>
        </w:rPr>
        <w:t>Примечания</w:t>
      </w:r>
      <w:r>
        <w:rPr>
          <w:rFonts w:ascii="Times New Roman" w:hAnsi="Times New Roman"/>
          <w:sz w:val="20"/>
        </w:rPr>
        <w:t xml:space="preserve">:   </w:t>
      </w:r>
    </w:p>
    <w:p>
      <w:pPr>
        <w:pStyle w:val="Style16"/>
        <w:rPr/>
      </w:pPr>
      <w:r>
        <w:rPr/>
        <w:t> </w:t>
      </w:r>
      <w:r>
        <w:rPr>
          <w:rFonts w:ascii="Times New Roman" w:hAnsi="Times New Roman"/>
          <w:sz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Главу 2 раздел  ОД. 3 таблицу параметры строительства дополнить пунктами 5,6,7,8,9</w:t>
      </w:r>
    </w:p>
    <w:p>
      <w:pPr>
        <w:pStyle w:val="Style16"/>
        <w:spacing w:before="0" w:after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060"/>
        <w:gridCol w:w="4578"/>
      </w:tblGrid>
      <w:tr>
        <w:trPr/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Размер земельных участков, в т. ч.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Стационары всех типов со вспомогательными зданиями и сооружениями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Поликлиника, амбулатория, диспансер (без стационара)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Станция скорой медицинской помощи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Фельдшерские или фельдшерско-акушерские пункты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койко-место при вместимости учреждений: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 коек – 300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50-100 коек – 300-200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100-200 коек – 200-140 м</w:t>
            </w:r>
            <w:r>
              <w:rPr>
                <w:rFonts w:ascii="Times New Roman" w:hAnsi="Times New Roman"/>
                <w:position w:val="7"/>
                <w:sz w:val="16"/>
                <w:sz w:val="20"/>
              </w:rPr>
              <w:t>2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0,3га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0,1 га.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га</w:t>
            </w:r>
          </w:p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– 0,3 га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Максимальный процент застройки в границах земельного участка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Минимальные отступы от границ земельного участка в целях определения места допустимого размещения объекта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5м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Предельное количество надземных этажей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/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Предельная высота ограждения</w:t>
            </w:r>
          </w:p>
        </w:tc>
        <w:tc>
          <w:tcPr>
            <w:tcW w:w="4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Главу 2 раздел  ПР.1 дополнить словами:</w:t>
      </w:r>
    </w:p>
    <w:p>
      <w:pPr>
        <w:pStyle w:val="Style16"/>
        <w:keepNext w:val="tru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размеры земельного участка – 2000 кв. м.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keepNext w:val="tru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60.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надземных этажей – 3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Главу 2 раздел  ПР.2 таблицу  дополнить словами:</w:t>
      </w:r>
    </w:p>
    <w:p>
      <w:pPr>
        <w:pStyle w:val="Style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строительства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размеры земельного участка – 1500 кв. м.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53,3.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надземных этажей – 3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Главу 2 раздел  ИЗ.1 дополнить словами: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  размеры земельных участков 0,1 - 0,6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использования земельных участков и объектов капитального строительства в зоне охраны магистральных ЛЭП (Э)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земельных участков и объектов капитального строительства, расположенных в границах зоны охраны магистральных ЛЭП, осуществляется в соответствии с постановление Правительства Российской Федерации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>
      <w:pPr>
        <w:pStyle w:val="Style16"/>
        <w:spacing w:before="0" w:after="0"/>
        <w:rPr/>
      </w:pPr>
      <w:r>
        <w:rPr/>
        <w:t xml:space="preserve">  </w:t>
      </w:r>
      <w:r>
        <w:rPr>
          <w:rFonts w:ascii="Times New Roman" w:hAnsi="Times New Roman"/>
          <w:sz w:val="20"/>
        </w:rPr>
        <w:t>11. Главу 2 раздел  ИЗ.2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источников питьевого водоснабжения, в том числе подземных и поверхностных источников водоснабжения, установлены в соответствии с границами первого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3" w:name="Par1725"/>
      <w:bookmarkEnd w:id="3"/>
      <w:r>
        <w:rPr>
          <w:rFonts w:ascii="Times New Roman" w:hAnsi="Times New Roman"/>
          <w:sz w:val="20"/>
        </w:rPr>
        <w:t>2. В зонах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посадка высокоствольных деревьев;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размещение трубопроводов различного назначения;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размещение жилых и хозяйственно-бытовых зданий, проживания людей;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применение ядохимикатов и удобрений.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3. В зонах поверхностных источников питьевого водоснабжения дополнительно к ограничениям, указанным в </w:t>
      </w:r>
      <w:r>
        <w:fldChar w:fldCharType="begin"/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instrText> HYPERLINK "http://ugno-stepnoe.eps74.ru/Publications/NH/Show?id=148" \l "Par1725"</w:instrText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strike w:val="false"/>
          <w:dstrike w:val="false"/>
          <w:sz w:val="20"/>
          <w:u w:val="none"/>
          <w:effect w:val="none"/>
        </w:rPr>
        <w:t>пункте 2</w:t>
      </w:r>
      <w:r>
        <w:rPr>
          <w:rStyle w:val="Style14"/>
          <w:dstrike w:val="false"/>
          <w:strike w:val="false"/>
          <w:sz w:val="20"/>
          <w:u w:val="none"/>
          <w:effect w:val="none"/>
          <w:rFonts w:ascii="Times New Roman" w:hAnsi="Times New Roman"/>
        </w:rPr>
        <w:fldChar w:fldCharType="end"/>
      </w:r>
      <w:r>
        <w:rPr/>
        <w:t xml:space="preserve"> </w:t>
      </w:r>
      <w:r>
        <w:rPr>
          <w:rFonts w:ascii="Times New Roman" w:hAnsi="Times New Roman"/>
          <w:sz w:val="20"/>
        </w:rPr>
        <w:t>настоящей статьи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спуск сточных вод, в том числе сточных вод водного транспорта;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купание, водопой скота, стирка белья;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иные виды водопользования, оказывающие влияние на качество воды.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использования земельных участков и объектов капитального строительства в зонах санитарной охраны источников питьевого водоснабжения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второго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закачки отработанных вод в подземные горизонты;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подземного складирования твердых отходов;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разработки недр земель;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применение удобрений и ядохимикатов;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рубка леса главного пользования и реконструкции.</w:t>
      </w:r>
    </w:p>
    <w:p>
      <w:pPr>
        <w:pStyle w:val="Style16"/>
        <w:spacing w:before="0" w:after="0"/>
        <w:rPr/>
      </w:pPr>
      <w:r>
        <w:rPr/>
        <w:t xml:space="preserve">         </w:t>
      </w:r>
      <w:r>
        <w:rPr>
          <w:rFonts w:ascii="Times New Roman" w:hAnsi="Times New Roman"/>
          <w:sz w:val="20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бурение новых скважин.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зонах санитарной охраны поверхностных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отведение сточных вод в зоне водосбора поверхностного источника водоснабжения включая его притоки;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производить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добыча песка, гравия;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проведение дноуглубительных работ в пределах акватории, зон санитарной охраны;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купание, туризм, водный спорт и рыбная ловля в установленных местах.</w:t>
      </w:r>
    </w:p>
    <w:p>
      <w:pPr>
        <w:pStyle w:val="Style16"/>
        <w:spacing w:before="0" w:after="0"/>
        <w:rPr/>
      </w:pPr>
      <w:bookmarkStart w:id="4" w:name="Par1756"/>
      <w:bookmarkEnd w:id="4"/>
      <w:r>
        <w:rPr/>
        <w:t> </w:t>
      </w:r>
    </w:p>
    <w:p>
      <w:pPr>
        <w:pStyle w:val="Style1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Ограничения использования земельных участков и объектов капитального строительства в зонах источников питьевого водоснабжения)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третьего пояса зон санитарной охраны источников водоснабжения.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закачки отработанных вод в подземные горизонты;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подземного складирования твердых отходов;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разработки недр земель.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бурение новых скважин;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размещение складов горюче-смазочных материалов;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применение ядохимикатов и минеральных удобрений;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размещение накопителей промышленных стоков, шламохранилищ и других объектов, вызывающих опасность химического загрязнения подземных вод.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добыча песка, гравия;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проведение дноуглубительных работ в пределах акватории, зон санитарной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  Главу 2 раздел  ИЗ.3 дополнить таблицами следующего содержания: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размещения очистных сооружений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020"/>
        <w:gridCol w:w="2204"/>
        <w:gridCol w:w="1924"/>
        <w:gridCol w:w="2490"/>
      </w:tblGrid>
      <w:tr>
        <w:trPr/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очистных сооружений,  тыс.м3/сутки</w:t>
            </w:r>
          </w:p>
        </w:tc>
        <w:tc>
          <w:tcPr>
            <w:tcW w:w="6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30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очистных сооружений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иловых площадок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биологических прудов глубокой очистки сточных вод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0,7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0,7 до 17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– 40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– 130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– 175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>
        <w:trPr/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175 - 280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размещения станций очистки воды</w:t>
      </w:r>
    </w:p>
    <w:tbl>
      <w:tblPr>
        <w:tblW w:w="637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2970"/>
        <w:gridCol w:w="3405"/>
      </w:tblGrid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станции, тыс.м3/сутки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земельного участка не более, га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0,8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0,8 до 12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– 32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– 80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– 125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– 250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– 400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400 - 800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</w:tbl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  Главу 2 раздел  ИЗ.3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Главу 2 раздел  ИЗ.4 дополнить словами: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для сооружений связи   0,3-2,1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Главу 2 раздел  ИЗ.5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«Ограничения использования земельных участков и объектов капитального строительства в охранных зонах газопроводов 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1. Использование земельных участков и объектов капитального строительства, расположенных в границах зоны охраны газопроводов, осуществляется в соответствии с </w:t>
      </w:r>
      <w:hyperlink r:id="rId2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Правилами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охраны газораспределительных сетей Российской Федерации, утвержденными постановлением Правительства Российской Федерации от 20.11.2000 N 878.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границах зоны охраны газопроводов запрещается: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строить объекты жилищно-гражданского и производственного назначения;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устраивать свалки и склады, разливать растворы кислот, солей, щелочей и других химически активных веществ;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разводить огонь и размещать источники огня;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самовольно подключаться к газораспределительным сетям.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3. Лесохозяйственные, сельскохозяйственные и другие работы, не подпадающие под ограничения, указанные в </w:t>
      </w:r>
      <w:hyperlink r:id="rId3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пункте 2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sz w:val="20"/>
        </w:rPr>
        <w:t xml:space="preserve">4. Хозяйственная деятельность в охранных зонах газораспределительных сетей, не предусмотренная </w:t>
      </w:r>
      <w:hyperlink r:id="rId4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пунктами 2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и </w:t>
      </w:r>
      <w:hyperlink r:id="rId5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земельных участков: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минимальный  0,6 га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– 8,0 га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>Отдельно стоящие ГРП в кварталах размещаются на расстоянии в свету от зданий и сооружений не менее:</w:t>
      </w:r>
    </w:p>
    <w:p>
      <w:pPr>
        <w:pStyle w:val="Style16"/>
        <w:spacing w:before="0" w:after="0"/>
        <w:ind w:left="567" w:right="0" w:hanging="0"/>
        <w:rPr/>
      </w:pPr>
      <w:r>
        <w:rPr>
          <w:rFonts w:ascii="Times New Roman" w:hAnsi="Times New Roman"/>
          <w:sz w:val="20"/>
        </w:rPr>
        <w:t>а) при давлении газа на вводе ГРП до 0,6 (6) МПа (кгс/см</w:t>
      </w:r>
      <w:r>
        <w:rPr>
          <w:rFonts w:ascii="Times New Roman" w:hAnsi="Times New Roman"/>
          <w:position w:val="7"/>
          <w:sz w:val="16"/>
          <w:sz w:val="20"/>
        </w:rPr>
        <w:t>2</w:t>
      </w:r>
      <w:r>
        <w:rPr>
          <w:rFonts w:ascii="Times New Roman" w:hAnsi="Times New Roman"/>
          <w:sz w:val="20"/>
        </w:rPr>
        <w:t>) – 10 м;</w:t>
      </w:r>
    </w:p>
    <w:p>
      <w:pPr>
        <w:pStyle w:val="Style16"/>
        <w:spacing w:before="0" w:after="0"/>
        <w:ind w:left="567" w:right="0" w:hanging="0"/>
        <w:rPr/>
      </w:pPr>
      <w:r>
        <w:rPr>
          <w:rFonts w:ascii="Times New Roman" w:hAnsi="Times New Roman"/>
          <w:sz w:val="20"/>
        </w:rPr>
        <w:t>б) при давлении газа на вводе ГРП св. 0,6 (6) до 1,2 (1,2) МПа (кгс/см</w:t>
      </w:r>
      <w:r>
        <w:rPr>
          <w:rFonts w:ascii="Times New Roman" w:hAnsi="Times New Roman"/>
          <w:position w:val="7"/>
          <w:sz w:val="16"/>
          <w:sz w:val="20"/>
        </w:rPr>
        <w:t>2</w:t>
      </w:r>
      <w:r>
        <w:rPr>
          <w:rFonts w:ascii="Times New Roman" w:hAnsi="Times New Roman"/>
          <w:sz w:val="20"/>
        </w:rPr>
        <w:t>) – 15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42-01-2002 «Газораспределительные системы»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  Главу 2 раздел  ТЗ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Главу 2 раздел  ТЗ.1 дополнить словами: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Федерации.»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Главу 2 раздел  ТЗ.2 дополнить словами:</w:t>
      </w:r>
    </w:p>
    <w:p>
      <w:pPr>
        <w:pStyle w:val="Style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Вспомогательные разрешенные виды использования не устанавливаются.</w:t>
      </w:r>
    </w:p>
    <w:p>
      <w:pPr>
        <w:pStyle w:val="Style16"/>
        <w:spacing w:before="0" w:after="0"/>
        <w:rPr/>
      </w:pPr>
      <w:r>
        <w:rPr/>
        <w:t xml:space="preserve">  </w:t>
      </w:r>
      <w:r>
        <w:rPr>
          <w:rFonts w:ascii="Times New Roman" w:hAnsi="Times New Roman"/>
          <w:sz w:val="20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rPr/>
      </w:pPr>
      <w:r>
        <w:rPr/>
        <w:t xml:space="preserve">    </w:t>
      </w:r>
      <w:r>
        <w:rPr>
          <w:rFonts w:ascii="Times New Roman" w:hAnsi="Times New Roman"/>
          <w:sz w:val="20"/>
        </w:rPr>
        <w:t>- 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Главу 2 раздел  ТЗ.3 дополнить словами: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Главу 2 раздел  РЗ.1 дополнить словами:</w:t>
      </w:r>
    </w:p>
    <w:p>
      <w:pPr>
        <w:pStyle w:val="Style16"/>
        <w:ind w:left="0" w:righ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Минимальные размеры земельного участка – 0,01 га. </w:t>
      </w:r>
    </w:p>
    <w:p>
      <w:pPr>
        <w:pStyle w:val="Style16"/>
        <w:ind w:left="0" w:righ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процент застройки в границах земельного участка – 64,6.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количество этажей– 3.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от границ земельных участков, вновь проектируемых санаторно-курортных и оздоровительных учреждений не менее: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а) до жилой застройки, учреждений коммунального хозяйства и складов  – 500м (в условиях реконструкции не менее 100 м);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б) до автомобильных дорог I, II и III категорий – 500м;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в) до автомобильных дорог IV категории – 200м; </w:t>
      </w:r>
    </w:p>
    <w:p>
      <w:pPr>
        <w:pStyle w:val="Style16"/>
        <w:ind w:left="720" w:right="0" w:hanging="294"/>
        <w:rPr>
          <w:sz w:val="20"/>
        </w:rPr>
      </w:pPr>
      <w:r>
        <w:rPr>
          <w:sz w:val="20"/>
        </w:rPr>
        <w:t xml:space="preserve">г) до садоводческих товариществ – 300 м. 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Главу 2 раздел  РЗ.2 дополнить словами: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В главе 2 раздел  РЗ.2 исключить слова: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«Параметры разрешенного строительного изменения земельных участков, иных объектов недвижимости, устанавливаются в индивидуальном порядке (применительно к каждому земельному участку, объекту) в процессе согласования».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Главу 2 раздел  РЗ.3  дополнить словами: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Главу 2 раздел  СХ.1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Основные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выращивание сельхозпродукции;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животноводство (за исключением капитального строительства);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птицеводство (за исключением капитального строительства);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личное подсобное хозяйство (полевой участок).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лесозащитные полосы;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отдельно стоящие, пристроенные бытовые и хозяйственные постройки, связанные с обслуживанием условных видов разрешенного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магистральные сети инженерно-технического обеспечения;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2.4.объекты инженерной инфраструктуры, связанные с обслуживанием объектов данной подзоны.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Условно разрешенные виды использования земельных участков и объектов недвижимости: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садоводческие, дачные и огороднические некоммерческие объединения граждан;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садоводство, огородничество;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животноводство (здания);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птицеводство (здания);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крестьянско-фермерские хозяйства;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животноводческие комплексы;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объекты сельскохозяйственного производства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rPr/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6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7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Российской Федерации, Лесным </w:t>
      </w:r>
      <w:hyperlink r:id="rId8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объекта.»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Главу 2 раздел  СХ.2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«1. Основные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животноводческие комплексы;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крестьянско-фермерские хозяйства;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объекты сельскохозяйственного производства;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Условные виды разрешенного использования не устанавливаются.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Вспомогательные виды разрешенного использования: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автостоянки обслуживающего вида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отдельно стоящие, пристроенные бытовые и хозяйственные постройки, связанные с обслуживанием основных видов разрешенного использования;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линейные объекты, объекты инженерной инфраструктуры.</w:t>
      </w:r>
    </w:p>
    <w:p>
      <w:pPr>
        <w:pStyle w:val="Style16"/>
        <w:ind w:left="0" w:right="0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объекта – 15 м.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9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10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 xml:space="preserve">Российской Федерации, Лесным </w:t>
      </w:r>
      <w:hyperlink r:id="rId11">
        <w:r>
          <w:rPr>
            <w:rStyle w:val="Style14"/>
            <w:rFonts w:ascii="Times New Roman" w:hAnsi="Times New Roman"/>
            <w:strike w:val="false"/>
            <w:dstrike w:val="false"/>
            <w:sz w:val="20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rFonts w:ascii="Times New Roman" w:hAnsi="Times New Roman"/>
          <w:sz w:val="20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Главу 2 раздел  СХ.3 дополнить словами:</w:t>
      </w:r>
    </w:p>
    <w:p>
      <w:pPr>
        <w:pStyle w:val="Style16"/>
        <w:spacing w:before="0" w:after="140"/>
        <w:rPr/>
      </w:pPr>
      <w:r>
        <w:rPr>
          <w:rFonts w:ascii="Times New Roman" w:hAnsi="Times New Roman"/>
          <w:b/>
          <w:sz w:val="20"/>
        </w:rPr>
        <w:t>3.</w:t>
      </w:r>
      <w:r>
        <w:rPr/>
        <w:t xml:space="preserve"> </w:t>
      </w:r>
      <w:r>
        <w:rPr>
          <w:rFonts w:ascii="Times New Roman" w:hAnsi="Times New Roman"/>
          <w:b/>
          <w:sz w:val="20"/>
        </w:rPr>
        <w:t>Вспомогательные разрешенные виды использования не устанавливаются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Предельные размеры земельных участков для ведения:</w:t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498"/>
        <w:gridCol w:w="2543"/>
        <w:gridCol w:w="2559"/>
      </w:tblGrid>
      <w:tr>
        <w:trPr/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предоставления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449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минимальные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максимальные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садоводства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огородничества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  <w:tr>
        <w:trPr/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дачного строительства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25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</w:tbl>
    <w:p>
      <w:pPr>
        <w:pStyle w:val="Style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застройки 30 % территории»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Главу 2 раздел  СН.1 читать в новой редакции: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b/>
          <w:sz w:val="20"/>
        </w:rPr>
        <w:t>«1. Основные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0"/>
        </w:rPr>
        <w:t>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действующие кладбища смешанного и традиционного захоронения.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предприятия торговли ритуальной продукцией;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сооружения постов полиции, ГИБДД;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временные сооружения для обслуживания населения;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аптеки;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остановочные павильоны, посадочные площадки общественного транспорта;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пешеходные тротуары, площади;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малые архитектурные формы, 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электрокотельные;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общественные уборные;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магистральные сети и объекты инженерной инфраструктуры, связанные с обслуживанием объектов специального назначения.</w:t>
      </w:r>
    </w:p>
    <w:p>
      <w:pPr>
        <w:pStyle w:val="Style16"/>
        <w:ind w:left="0" w:right="0" w:firstLine="540"/>
        <w:jc w:val="both"/>
        <w:rPr/>
      </w:pPr>
      <w:r>
        <w:rPr>
          <w:rFonts w:ascii="Times New Roman" w:hAnsi="Times New Roman"/>
          <w:b/>
          <w:sz w:val="20"/>
        </w:rPr>
        <w:t>3. Условно разрешенные виды использования земельных участков и объектов недвижимости</w:t>
      </w:r>
      <w:r>
        <w:rPr>
          <w:rFonts w:ascii="Times New Roman" w:hAnsi="Times New Roman"/>
          <w:sz w:val="20"/>
        </w:rPr>
        <w:t>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крематории, стены скорби;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похоронные бюро;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открытые стоянки, вместимостью до 300 легковых автомобилей, временного типа;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базы по сбору утильсырья;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мусороперерабатывающие и мусоросжигательные заводы.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отступы от границ земельного участка в целях определения места допустимого размещения объекта – 5 м.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Минимальный процент захоронений по отношению к общей площади кладбища – 65.</w:t>
      </w:r>
    </w:p>
    <w:p>
      <w:pPr>
        <w:pStyle w:val="Style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объекта – 15 м.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Предельная высота ограждения – 2 м»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Главу 2 раздел  СН.2 дополнить словами:</w:t>
      </w:r>
    </w:p>
    <w:p>
      <w:pPr>
        <w:pStyle w:val="Style16"/>
        <w:spacing w:before="0" w:after="1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«2. Условные виды разрешенного использования не устанавливаются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земельных участков 0,02 – 4,0 га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плотность застройки,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застройки» 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29. Главу 2 раздел  СН.3 дополнить словами:</w:t>
      </w:r>
    </w:p>
    <w:p>
      <w:pPr>
        <w:pStyle w:val="Style16"/>
        <w:spacing w:before="0" w:after="1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«Вспомогательные и условные виды разрешенного использования не устанавливаются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ind w:left="0" w:right="0"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 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Главу 2 раздел  АЗ.3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«Ограничения использования земельных участков и объектов капитального строительства в водоохранных зонах - водоохранные зоны и режим использования устанавливаются в соответствии со статьей 65 Водного кодекса Российской Федерации».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31. Главу 2 раздел  РФ.2 дополнить словами: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Земельные участки, входящие в состав зоны, могут быть зарезервированы для государственных и муниципальных нужд.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зоны. Использование земельных участков, находящихся в зоне резервных территорий, осуществляется после разработки градостроительной документации в установленном порядке.»</w:t>
      </w:r>
    </w:p>
    <w:p>
      <w:pPr>
        <w:pStyle w:val="Style16"/>
        <w:spacing w:before="0" w:after="140"/>
        <w:rPr/>
      </w:pPr>
      <w:r>
        <w:rPr/>
        <w:t> </w:t>
      </w:r>
    </w:p>
    <w:p>
      <w:pPr>
        <w:pStyle w:val="Style16"/>
        <w:spacing w:before="0" w:after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32. Главу 2 раздел  СЗЗ.1 дополнить словами:</w:t>
      </w:r>
    </w:p>
    <w:p>
      <w:pPr>
        <w:pStyle w:val="Style16"/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«Ограничения использования земельных участков и объектов капитального строительства в границах санитарно-защитных зон 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Санитарно-защитная зона или какая-либо ее часть не могут рассматриваться как резервная территория предприятия и использоваться для расширения промышленной площадки, а также для перспективного развития селитебной территории. Санитарно-защитная зона не может рассматриваться как территория для размещения коллективных и индивидуальных дачных и садово-огородных участков.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Использование земельных участков и объектов капитального строительства в санитарно-защитных зонах осуществляется с учетом следующих ограничений: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5" w:name="Par1670"/>
      <w:bookmarkEnd w:id="5"/>
      <w:r>
        <w:rPr>
          <w:rFonts w:ascii="Times New Roman" w:hAnsi="Times New Roman"/>
          <w:sz w:val="20"/>
        </w:rPr>
        <w:t>2. В границах санитарно-защитных зон запрещается размещение: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объектов для проживания людей;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земельных участков для дачного строительства, садоводства и огородничества;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предприятий по производству лекарственных веществ, лекарственных средств и (или) лекарственных форм;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предприятий пищевых отраслей промышленности;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оптовых складов продовольственного сырья и пищевых продуктов;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комплексов водопроводных сооружений для подготовки и хранения питьевой воды;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открытых спортивных сооружений;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парков;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образовательных и детских учреждений;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лечебно-профилактических и оздоровительных учреждений общего пользования.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bookmarkStart w:id="6" w:name="Par1682"/>
      <w:bookmarkEnd w:id="6"/>
      <w:r>
        <w:rPr>
          <w:rFonts w:ascii="Times New Roman" w:hAnsi="Times New Roman"/>
          <w:sz w:val="20"/>
        </w:rPr>
        <w:t>3. В границах санитарно-защитных зон по согласованию с органами государственной власти в области санитарно-эпидемиологического надзора разрешается размещение: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предприятий, их отдельных зданий и сооружений с производствами меньшего класса вредности, чем основное производство;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пожарных депо;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бань;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прачечных;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объектов торговли и общественного питания;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мотелей, гостиниц;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гаражей, площадок и сооружений для хранения общественного и индивидуального транспорта;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объектов автосервиса, автомобильные заправочные станции;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административных зданий, конструкторских бюро, связанных с обслуживанием данного предприятия;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поликлиник, научно-исследовательских лабораторий, закрытых спортивно-оздоровительных сооружений для работников предприятия;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нежилых помещений для дежурного аварийного персонала и охраны предприятий, помещений для пребывания работающих по вахтовому методу;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линейных объектов, объектов инженерной инфраструктуры;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артезианских скважин для технического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водоохлаждающих сооружений для подготовки технической воды;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15) канализационных насосных станций;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16) сооружений оборотного водоснабжения;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17) питомников растений для озеленения промышленных площадок и санитарно-защитных зон;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18) новых объектов пищевой промышленности, оптовых складов продовольственного сырья и пищевой продукции в границах санитарно-защитных зон предприятий пищевых отраслей промышленности, при исключении взаимного негативного воздействия;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19) зеленых насаждений;</w:t>
      </w:r>
    </w:p>
    <w:p>
      <w:pPr>
        <w:pStyle w:val="Style16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20) малых архитектурных форм и элементов благоустройства.</w:t>
      </w:r>
    </w:p>
    <w:p>
      <w:pPr>
        <w:pStyle w:val="Style16"/>
        <w:spacing w:lineRule="auto" w:line="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Архитектурно-строительное проектирование, строительство и реконструкция объектов капитального строительства в границах санитарно-защитных зон осуществляется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843AE2F001F448B34A018E47D76383E95A6E16F04EE256CCB762AE3514B7CFFC0C1F12ECBD61CF6GC43I" TargetMode="External"/><Relationship Id="rId3" Type="http://schemas.openxmlformats.org/officeDocument/2006/relationships/hyperlink" Target="consultantplus://offline/ref=F843AE2F001F448B34A006E96B1A643B90AFBB6303E3283E9E2971BE064276A8878EA86C8FDB1DF6CAE84CG241I" TargetMode="External"/><Relationship Id="rId4" Type="http://schemas.openxmlformats.org/officeDocument/2006/relationships/hyperlink" Target="consultantplus://offline/ref=F843AE2F001F448B34A006E96B1A643B90AFBB6303E3283E9E2971BE064276A8878EA86C8FDB1DF6CAE84CG241I" TargetMode="External"/><Relationship Id="rId5" Type="http://schemas.openxmlformats.org/officeDocument/2006/relationships/hyperlink" Target="consultantplus://offline/ref=F843AE2F001F448B34A006E96B1A643B90AFBB6303E3283E9E2971BE064276A8878EA86C8FDB1DF6CAE84EG249I" TargetMode="External"/><Relationship Id="rId6" Type="http://schemas.openxmlformats.org/officeDocument/2006/relationships/hyperlink" Target="consultantplus://offline/ref=67CEA787955165A576C878AA4D949C2A2B80AC5EBC975285AEC7C0B203FB019AA0276611BFE15A624Dg5E" TargetMode="External"/><Relationship Id="rId7" Type="http://schemas.openxmlformats.org/officeDocument/2006/relationships/hyperlink" Target="consultantplus://offline/ref=67CEA787955165A576C878AA4D949C2A2B84AE52BD965285AEC7C0B2034FgBE" TargetMode="External"/><Relationship Id="rId8" Type="http://schemas.openxmlformats.org/officeDocument/2006/relationships/hyperlink" Target="consultantplus://offline/ref=67CEA787955165A576C878AA4D949C2A2B83AA54B9905285AEC7C0B2034FgBE" TargetMode="External"/><Relationship Id="rId9" Type="http://schemas.openxmlformats.org/officeDocument/2006/relationships/hyperlink" Target="consultantplus://offline/ref=67CEA787955165A576C878AA4D949C2A2B80AC5EBC975285AEC7C0B203FB019AA0276611BFE15A624Dg5E" TargetMode="External"/><Relationship Id="rId10" Type="http://schemas.openxmlformats.org/officeDocument/2006/relationships/hyperlink" Target="consultantplus://offline/ref=67CEA787955165A576C878AA4D949C2A2B84AE52BD965285AEC7C0B2034FgBE" TargetMode="External"/><Relationship Id="rId11" Type="http://schemas.openxmlformats.org/officeDocument/2006/relationships/hyperlink" Target="consultantplus://offline/ref=67CEA787955165A576C878AA4D949C2A2B83AA54B9905285AEC7C0B2034FgBE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13</Pages>
  <Words>4338</Words>
  <Characters>32445</Characters>
  <CharactersWithSpaces>37089</CharactersWithSpaces>
  <Paragraphs>504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2019-05-30T10:41:55Z</dcterms:created>
  <dc:creator/>
  <dc:description/>
  <dc:language>ru-RU</dc:language>
  <cp:lastModifiedBy/>
  <dcterms:modified xsi:type="dcterms:W3CDTF">2019-05-30T10:42:38Z</dcterms:modified>
  <cp:revision>1</cp:revision>
  <dc:subject/>
  <dc:title/>
</cp:coreProperties>
</file>