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/>
      </w:pPr>
      <w:r>
        <w:rPr/>
        <w:t>Администрация Южно-Степного сельского поселения</w:t>
      </w:r>
    </w:p>
    <w:p>
      <w:pPr>
        <w:pStyle w:val="Style15"/>
        <w:pBdr/>
        <w:jc w:val="center"/>
        <w:rPr>
          <w:bdr w:val="single" w:sz="12" w:space="1" w:color="000000"/>
        </w:rPr>
      </w:pPr>
      <w:r>
        <w:rPr>
          <w:bdr w:val="single" w:sz="12" w:space="1" w:color="000000"/>
        </w:rPr>
        <w:t>Карталинского муниципального района Челябинской области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 xml:space="preserve">РАСПОРЯЖЕНИЕ   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rPr/>
      </w:pPr>
      <w:r>
        <w:rPr/>
        <w:t xml:space="preserve">От  22.03.2019 года                                     №  16 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 xml:space="preserve">О создании комиссии для проверки готовности  </w:t>
      </w:r>
    </w:p>
    <w:p>
      <w:pPr>
        <w:pStyle w:val="Style15"/>
        <w:rPr/>
      </w:pPr>
      <w:r>
        <w:rPr/>
        <w:t xml:space="preserve">к работе в отопительный  период 2019-2020 годов </w:t>
      </w:r>
    </w:p>
    <w:p>
      <w:pPr>
        <w:pStyle w:val="Style15"/>
        <w:rPr/>
      </w:pPr>
      <w:r>
        <w:rPr/>
        <w:t xml:space="preserve">объектов жилищно-коммунального хозяйства, </w:t>
      </w:r>
    </w:p>
    <w:p>
      <w:pPr>
        <w:pStyle w:val="Style15"/>
        <w:rPr/>
      </w:pPr>
      <w:r>
        <w:rPr/>
        <w:t>энергетики и социальной  сферы Южно-Степного</w:t>
      </w:r>
    </w:p>
    <w:p>
      <w:pPr>
        <w:pStyle w:val="Style15"/>
        <w:rPr/>
      </w:pPr>
      <w:r>
        <w:rPr/>
        <w:t xml:space="preserve">сельского поселения </w:t>
      </w:r>
    </w:p>
    <w:p>
      <w:pPr>
        <w:pStyle w:val="Style15"/>
        <w:rPr/>
      </w:pPr>
      <w:r>
        <w:rPr/>
        <w:t> </w:t>
      </w:r>
    </w:p>
    <w:p>
      <w:pPr>
        <w:pStyle w:val="Style15"/>
        <w:ind w:left="0" w:right="0" w:firstLine="708"/>
        <w:jc w:val="both"/>
        <w:rPr/>
      </w:pPr>
      <w:r>
        <w:rPr/>
        <w:t> </w:t>
      </w:r>
      <w:r>
        <w:rPr>
          <w:sz w:val="24"/>
        </w:rPr>
        <w:t xml:space="preserve">Для  проведения готовности объектов жилищно-коммунального хозяйства, энергетики и социальной сферы Южно-Степного сельского поселения  к работе в отопительный период 2019-2020 годов  </w:t>
      </w:r>
    </w:p>
    <w:p>
      <w:pPr>
        <w:pStyle w:val="Style15"/>
        <w:ind w:left="720" w:right="0" w:hanging="360"/>
        <w:jc w:val="both"/>
        <w:rPr/>
      </w:pPr>
      <w:r>
        <w:rPr>
          <w:sz w:val="24"/>
        </w:rPr>
        <w:t>1.      Создать комиссию  в следующем составе:</w:t>
      </w:r>
    </w:p>
    <w:tbl>
      <w:tblPr>
        <w:tblW w:w="975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375"/>
        <w:gridCol w:w="6375"/>
      </w:tblGrid>
      <w:tr>
        <w:trPr/>
        <w:tc>
          <w:tcPr>
            <w:tcW w:w="3375" w:type="dxa"/>
            <w:tcBorders/>
            <w:shd w:fill="auto" w:val="clear"/>
          </w:tcPr>
          <w:p>
            <w:pPr>
              <w:pStyle w:val="Style19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Баженов К.К.</w:t>
            </w:r>
          </w:p>
        </w:tc>
        <w:tc>
          <w:tcPr>
            <w:tcW w:w="6375" w:type="dxa"/>
            <w:tcBorders/>
            <w:shd w:fill="auto" w:val="clear"/>
          </w:tcPr>
          <w:p>
            <w:pPr>
              <w:pStyle w:val="Style19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комиссии</w:t>
            </w:r>
          </w:p>
          <w:p>
            <w:pPr>
              <w:pStyle w:val="Style19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глава Южно-Степного сельского поселения Карталинского муниципального района </w:t>
            </w:r>
          </w:p>
        </w:tc>
      </w:tr>
      <w:tr>
        <w:trPr/>
        <w:tc>
          <w:tcPr>
            <w:tcW w:w="3375" w:type="dxa"/>
            <w:tcBorders/>
            <w:shd w:fill="auto" w:val="clear"/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 </w:t>
            </w:r>
          </w:p>
        </w:tc>
        <w:tc>
          <w:tcPr>
            <w:tcW w:w="6375" w:type="dxa"/>
            <w:tcBorders/>
            <w:shd w:fill="auto" w:val="clear"/>
          </w:tcPr>
          <w:p>
            <w:pPr>
              <w:pStyle w:val="Style19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375" w:type="dxa"/>
            <w:tcBorders/>
            <w:shd w:fill="auto" w:val="clear"/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 </w:t>
            </w:r>
          </w:p>
        </w:tc>
        <w:tc>
          <w:tcPr>
            <w:tcW w:w="6375" w:type="dxa"/>
            <w:tcBorders/>
            <w:shd w:fill="auto" w:val="clear"/>
          </w:tcPr>
          <w:p>
            <w:pPr>
              <w:pStyle w:val="Style19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375" w:type="dxa"/>
            <w:tcBorders/>
            <w:shd w:fill="auto" w:val="clear"/>
          </w:tcPr>
          <w:p>
            <w:pPr>
              <w:pStyle w:val="Style19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6375" w:type="dxa"/>
            <w:tcBorders/>
            <w:shd w:fill="auto" w:val="clear"/>
          </w:tcPr>
          <w:p>
            <w:pPr>
              <w:pStyle w:val="Style19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375" w:type="dxa"/>
            <w:tcBorders/>
            <w:shd w:fill="auto" w:val="clear"/>
          </w:tcPr>
          <w:p>
            <w:pPr>
              <w:pStyle w:val="Style19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Боброва Г.Н.</w:t>
            </w:r>
          </w:p>
        </w:tc>
        <w:tc>
          <w:tcPr>
            <w:tcW w:w="6375" w:type="dxa"/>
            <w:tcBorders/>
            <w:shd w:fill="auto" w:val="clear"/>
          </w:tcPr>
          <w:p>
            <w:pPr>
              <w:pStyle w:val="Style19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главы Южно-Степного сельского поселения Карталинского муниципального района </w:t>
            </w:r>
          </w:p>
        </w:tc>
      </w:tr>
      <w:tr>
        <w:trPr/>
        <w:tc>
          <w:tcPr>
            <w:tcW w:w="3375" w:type="dxa"/>
            <w:tcBorders/>
            <w:shd w:fill="auto" w:val="clear"/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 </w:t>
            </w:r>
          </w:p>
        </w:tc>
        <w:tc>
          <w:tcPr>
            <w:tcW w:w="6375" w:type="dxa"/>
            <w:tcBorders/>
            <w:shd w:fill="auto" w:val="clear"/>
          </w:tcPr>
          <w:p>
            <w:pPr>
              <w:pStyle w:val="Style19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375" w:type="dxa"/>
            <w:tcBorders/>
            <w:shd w:fill="auto" w:val="clear"/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 </w:t>
            </w:r>
          </w:p>
        </w:tc>
        <w:tc>
          <w:tcPr>
            <w:tcW w:w="6375" w:type="dxa"/>
            <w:tcBorders/>
            <w:shd w:fill="auto" w:val="clear"/>
          </w:tcPr>
          <w:p>
            <w:pPr>
              <w:pStyle w:val="Style19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375" w:type="dxa"/>
            <w:tcBorders/>
            <w:shd w:fill="auto" w:val="clear"/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 </w:t>
            </w:r>
          </w:p>
        </w:tc>
        <w:tc>
          <w:tcPr>
            <w:tcW w:w="6375" w:type="dxa"/>
            <w:tcBorders/>
            <w:shd w:fill="auto" w:val="clear"/>
          </w:tcPr>
          <w:p>
            <w:pPr>
              <w:pStyle w:val="Style19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375" w:type="dxa"/>
            <w:tcBorders/>
            <w:shd w:fill="auto" w:val="clear"/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 </w:t>
            </w:r>
          </w:p>
        </w:tc>
        <w:tc>
          <w:tcPr>
            <w:tcW w:w="6375" w:type="dxa"/>
            <w:tcBorders/>
            <w:shd w:fill="auto" w:val="clear"/>
          </w:tcPr>
          <w:p>
            <w:pPr>
              <w:pStyle w:val="Style19"/>
              <w:spacing w:before="0" w:after="283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3375" w:type="dxa"/>
            <w:tcBorders/>
            <w:shd w:fill="auto" w:val="clear"/>
          </w:tcPr>
          <w:p>
            <w:pPr>
              <w:pStyle w:val="Style19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Ихсанов К.А.</w:t>
            </w:r>
          </w:p>
        </w:tc>
        <w:tc>
          <w:tcPr>
            <w:tcW w:w="6375" w:type="dxa"/>
            <w:tcBorders/>
            <w:shd w:fill="auto" w:val="clear"/>
          </w:tcPr>
          <w:p>
            <w:pPr>
              <w:pStyle w:val="Style19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общества с ограниченной ответственностью «Жилищно-коммунальное хозяйство Партнер » </w:t>
            </w:r>
          </w:p>
        </w:tc>
      </w:tr>
      <w:tr>
        <w:trPr/>
        <w:tc>
          <w:tcPr>
            <w:tcW w:w="3375" w:type="dxa"/>
            <w:tcBorders/>
            <w:shd w:fill="auto" w:val="clear"/>
          </w:tcPr>
          <w:p>
            <w:pPr>
              <w:pStyle w:val="Style19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Чумак Н.И.</w:t>
            </w:r>
          </w:p>
        </w:tc>
        <w:tc>
          <w:tcPr>
            <w:tcW w:w="6375" w:type="dxa"/>
            <w:tcBorders/>
            <w:shd w:fill="auto" w:val="clear"/>
          </w:tcPr>
          <w:p>
            <w:pPr>
              <w:pStyle w:val="Style19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  <w:t>директор Южно-Степной СОШ</w:t>
            </w:r>
          </w:p>
        </w:tc>
      </w:tr>
      <w:tr>
        <w:trPr/>
        <w:tc>
          <w:tcPr>
            <w:tcW w:w="3375" w:type="dxa"/>
            <w:tcBorders/>
            <w:shd w:fill="auto" w:val="clear"/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 </w:t>
            </w:r>
            <w:r>
              <w:rPr>
                <w:sz w:val="24"/>
              </w:rPr>
              <w:t>Исмухамбетова К.</w:t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  <w:t> </w:t>
            </w:r>
          </w:p>
        </w:tc>
        <w:tc>
          <w:tcPr>
            <w:tcW w:w="6375" w:type="dxa"/>
            <w:tcBorders/>
            <w:shd w:fill="auto" w:val="clear"/>
          </w:tcPr>
          <w:p>
            <w:pPr>
              <w:pStyle w:val="Style19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МУ ЦКС «Южно-Степного сельского поселения» </w:t>
            </w:r>
          </w:p>
        </w:tc>
      </w:tr>
      <w:tr>
        <w:trPr/>
        <w:tc>
          <w:tcPr>
            <w:tcW w:w="3375" w:type="dxa"/>
            <w:tcBorders/>
            <w:shd w:fill="auto" w:val="clear"/>
          </w:tcPr>
          <w:p>
            <w:pPr>
              <w:pStyle w:val="Style19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Екимова Г.А.</w:t>
            </w:r>
          </w:p>
        </w:tc>
        <w:tc>
          <w:tcPr>
            <w:tcW w:w="6375" w:type="dxa"/>
            <w:tcBorders/>
            <w:shd w:fill="auto" w:val="clear"/>
          </w:tcPr>
          <w:p>
            <w:pPr>
              <w:pStyle w:val="Style19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заведующая Южно-Степной амбулаторией </w:t>
            </w:r>
          </w:p>
        </w:tc>
      </w:tr>
    </w:tbl>
    <w:p>
      <w:pPr>
        <w:pStyle w:val="Style15"/>
        <w:ind w:left="720" w:right="0" w:hanging="360"/>
        <w:jc w:val="both"/>
        <w:rPr/>
      </w:pPr>
      <w:r>
        <w:rPr>
          <w:sz w:val="24"/>
        </w:rPr>
        <w:t xml:space="preserve">2.      Проверку готовности объектов жилищно-коммунального хозяйства 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 xml:space="preserve">энергетики и социальной сферы Южно-Степного сельского поселения  к работе в отопительный период 2019-2020 годов проводить в соответствии с Порядком  (приложение № 1).  </w:t>
      </w:r>
    </w:p>
    <w:p>
      <w:pPr>
        <w:pStyle w:val="Style15"/>
        <w:jc w:val="both"/>
        <w:rPr/>
      </w:pPr>
      <w:r>
        <w:rPr/>
        <w:t xml:space="preserve">     </w:t>
      </w:r>
      <w:r>
        <w:rPr>
          <w:sz w:val="24"/>
        </w:rPr>
        <w:t>3. Контроль  за  исполнением настоящего распоряжения оставляю за собой.</w:t>
      </w:r>
    </w:p>
    <w:p>
      <w:pPr>
        <w:pStyle w:val="Style15"/>
        <w:jc w:val="both"/>
        <w:rPr/>
      </w:pPr>
      <w:r>
        <w:rPr/>
        <w:t>Глава Южно-Степного сельского поселения                         К.К.Баженов</w:t>
      </w:r>
    </w:p>
    <w:p>
      <w:pPr>
        <w:pStyle w:val="Style15"/>
        <w:jc w:val="both"/>
        <w:rPr>
          <w:sz w:val="20"/>
        </w:rPr>
      </w:pPr>
      <w:r>
        <w:rPr>
          <w:sz w:val="20"/>
        </w:rPr>
        <w:t>Рассылка:</w:t>
      </w:r>
    </w:p>
    <w:tbl>
      <w:tblPr>
        <w:tblW w:w="45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00"/>
      </w:tblGrid>
      <w:tr>
        <w:trPr/>
        <w:tc>
          <w:tcPr>
            <w:tcW w:w="4500" w:type="dxa"/>
            <w:tcBorders/>
            <w:shd w:fill="auto" w:val="clear"/>
          </w:tcPr>
          <w:p>
            <w:pPr>
              <w:pStyle w:val="Style19"/>
              <w:spacing w:before="0" w:after="283"/>
              <w:jc w:val="both"/>
              <w:rPr>
                <w:sz w:val="20"/>
              </w:rPr>
            </w:pPr>
            <w:r>
              <w:rPr>
                <w:sz w:val="20"/>
              </w:rPr>
              <w:t>1.дело</w:t>
            </w:r>
          </w:p>
        </w:tc>
      </w:tr>
      <w:tr>
        <w:trPr/>
        <w:tc>
          <w:tcPr>
            <w:tcW w:w="4500" w:type="dxa"/>
            <w:tcBorders/>
            <w:shd w:fill="auto" w:val="clear"/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2.Боброва Г.Н.</w:t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  <w:t>3.Управление строительства КМР</w:t>
            </w:r>
          </w:p>
          <w:p>
            <w:pPr>
              <w:pStyle w:val="Style19"/>
              <w:spacing w:before="0" w:after="283"/>
              <w:rPr/>
            </w:pPr>
            <w:r>
              <w:rPr/>
              <w:t>4. ООО «ЖКХ Партнер»</w:t>
            </w:r>
          </w:p>
          <w:p>
            <w:pPr>
              <w:pStyle w:val="Style19"/>
              <w:spacing w:before="0" w:after="283"/>
              <w:rPr/>
            </w:pPr>
            <w:r>
              <w:rPr/>
              <w:t>5. Южно-Степная СОШ</w:t>
            </w:r>
          </w:p>
          <w:p>
            <w:pPr>
              <w:pStyle w:val="Style19"/>
              <w:spacing w:before="0" w:after="283"/>
              <w:rPr/>
            </w:pPr>
            <w:r>
              <w:rPr/>
              <w:t>6.МУ ЦКС «Южно-Степного с\п»</w:t>
            </w:r>
          </w:p>
          <w:p>
            <w:pPr>
              <w:pStyle w:val="Style19"/>
              <w:spacing w:before="0" w:after="283"/>
              <w:rPr/>
            </w:pPr>
            <w:r>
              <w:rPr/>
              <w:t>7.Южно-Степная амбулатория</w:t>
            </w:r>
          </w:p>
          <w:p>
            <w:pPr>
              <w:pStyle w:val="Style19"/>
              <w:spacing w:before="0" w:after="283"/>
              <w:rPr/>
            </w:pPr>
            <w:r>
              <w:rPr/>
              <w:t>8.Детский сад</w:t>
            </w:r>
          </w:p>
          <w:p>
            <w:pPr>
              <w:pStyle w:val="Style19"/>
              <w:spacing w:before="0" w:after="283"/>
              <w:rPr/>
            </w:pPr>
            <w:r>
              <w:rPr/>
              <w:t>9. Пограничный пост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  <w:t> </w:t>
            </w:r>
          </w:p>
        </w:tc>
      </w:tr>
    </w:tbl>
    <w:p>
      <w:pPr>
        <w:pStyle w:val="Style15"/>
        <w:jc w:val="right"/>
        <w:rPr/>
      </w:pPr>
      <w:r>
        <w:rPr/>
        <w:t>Приложение № 1</w:t>
      </w:r>
    </w:p>
    <w:p>
      <w:pPr>
        <w:pStyle w:val="Style15"/>
        <w:jc w:val="right"/>
        <w:rPr/>
      </w:pPr>
      <w:r>
        <w:rPr/>
        <w:t> </w:t>
      </w:r>
      <w:r>
        <w:rPr/>
        <w:t>к распоряжению администрации</w:t>
      </w:r>
    </w:p>
    <w:p>
      <w:pPr>
        <w:pStyle w:val="Style15"/>
        <w:jc w:val="right"/>
        <w:rPr/>
      </w:pPr>
      <w:r>
        <w:rPr/>
        <w:t> </w:t>
      </w:r>
      <w:r>
        <w:rPr/>
        <w:t>Южно-Степного сельского поселения</w:t>
      </w:r>
    </w:p>
    <w:p>
      <w:pPr>
        <w:pStyle w:val="Style15"/>
        <w:jc w:val="right"/>
        <w:rPr/>
      </w:pPr>
      <w:r>
        <w:rPr/>
        <w:t xml:space="preserve"> № </w:t>
      </w:r>
      <w:r>
        <w:rPr/>
        <w:t xml:space="preserve">16 от 22.03.2019 г.  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center"/>
        <w:rPr>
          <w:u w:val="single"/>
        </w:rPr>
      </w:pPr>
      <w:r>
        <w:rPr>
          <w:u w:val="single"/>
        </w:rPr>
        <w:t>ПОРЯДОК</w:t>
      </w:r>
    </w:p>
    <w:p>
      <w:pPr>
        <w:pStyle w:val="Style15"/>
        <w:jc w:val="center"/>
        <w:rPr>
          <w:u w:val="single"/>
        </w:rPr>
      </w:pPr>
      <w:r>
        <w:rPr>
          <w:u w:val="single"/>
        </w:rPr>
        <w:t>проведения проверки готовности объектов жилищно-коммунального хозяйства, энергетики и социальной сферы Южно-Степного сельского поселения Картаинского муниципального района к отопительному периоду 2019-2020 годов</w:t>
      </w:r>
    </w:p>
    <w:p>
      <w:pPr>
        <w:pStyle w:val="Style15"/>
        <w:ind w:left="1068" w:right="0" w:hanging="360"/>
        <w:rPr/>
      </w:pPr>
      <w:r>
        <w:rPr>
          <w:b/>
          <w:sz w:val="24"/>
        </w:rPr>
        <w:t>1.      Объекты, подлежащие проверке.</w:t>
      </w:r>
    </w:p>
    <w:p>
      <w:pPr>
        <w:pStyle w:val="Style15"/>
        <w:ind w:left="0" w:right="0" w:firstLine="708"/>
        <w:jc w:val="both"/>
        <w:rPr>
          <w:b/>
          <w:sz w:val="24"/>
        </w:rPr>
      </w:pPr>
      <w:r>
        <w:rPr>
          <w:b/>
          <w:sz w:val="24"/>
        </w:rPr>
        <w:t>1.1. Теплоснабжающая и теплосетевая организация:</w:t>
      </w:r>
    </w:p>
    <w:p>
      <w:pPr>
        <w:pStyle w:val="Style15"/>
        <w:jc w:val="both"/>
        <w:rPr/>
      </w:pPr>
      <w:r>
        <w:rPr/>
        <w:t> </w:t>
      </w:r>
      <w:r>
        <w:rPr>
          <w:sz w:val="24"/>
        </w:rPr>
        <w:t>1  ООО «ЖКХ  Партнер» - котельная и тепловые сети п. Южно-Степной.</w:t>
      </w:r>
    </w:p>
    <w:p>
      <w:pPr>
        <w:pStyle w:val="Style15"/>
        <w:ind w:left="0" w:right="0" w:firstLine="708"/>
        <w:jc w:val="both"/>
        <w:rPr>
          <w:b/>
          <w:sz w:val="24"/>
        </w:rPr>
      </w:pPr>
      <w:r>
        <w:rPr>
          <w:b/>
          <w:sz w:val="24"/>
        </w:rPr>
        <w:t>1.2. Потребители тепловой энергии: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1  МУЗ «Карталинская городская больница»  больница п. Южно-Степной;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2  МДОУ Детский сад п. Южно-Степной;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3  МОУ Южно-Степная СОШ;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4  МУ ЦКС Южно-Степного с/поселения;</w:t>
      </w:r>
    </w:p>
    <w:p>
      <w:pPr>
        <w:pStyle w:val="Style15"/>
        <w:jc w:val="both"/>
        <w:rPr>
          <w:sz w:val="24"/>
        </w:rPr>
      </w:pPr>
      <w:r>
        <w:rPr>
          <w:sz w:val="24"/>
        </w:rPr>
        <w:t>5. Пограничный пост п. Южно-Степной</w:t>
      </w:r>
    </w:p>
    <w:p>
      <w:pPr>
        <w:pStyle w:val="Style15"/>
        <w:ind w:left="1068" w:right="0" w:hanging="360"/>
        <w:jc w:val="center"/>
        <w:rPr/>
      </w:pPr>
      <w:r>
        <w:rPr>
          <w:b/>
        </w:rPr>
        <w:t>2.      Сроки проведения проверок.</w:t>
      </w:r>
    </w:p>
    <w:tbl>
      <w:tblPr>
        <w:tblW w:w="946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688"/>
        <w:gridCol w:w="6217"/>
        <w:gridCol w:w="2560"/>
      </w:tblGrid>
      <w:tr>
        <w:trPr/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/>
              <w:t>№</w:t>
            </w:r>
          </w:p>
        </w:tc>
        <w:tc>
          <w:tcPr>
            <w:tcW w:w="6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Наименование организации</w:t>
            </w:r>
          </w:p>
        </w:tc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Дата проверки</w:t>
            </w:r>
          </w:p>
        </w:tc>
      </w:tr>
      <w:tr>
        <w:trPr/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8777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b/>
              </w:rPr>
            </w:pPr>
            <w:r>
              <w:rPr>
                <w:b/>
              </w:rPr>
              <w:t>Теплоснабжающая и теплосетевая организация</w:t>
            </w:r>
          </w:p>
        </w:tc>
      </w:tr>
      <w:tr>
        <w:trPr/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62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ООО «ЖКХ  Партнер»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06.08.2019г.</w:t>
            </w:r>
          </w:p>
        </w:tc>
      </w:tr>
      <w:tr>
        <w:trPr/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II.</w:t>
            </w:r>
          </w:p>
        </w:tc>
        <w:tc>
          <w:tcPr>
            <w:tcW w:w="62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b/>
              </w:rPr>
            </w:pPr>
            <w:r>
              <w:rPr>
                <w:b/>
              </w:rPr>
              <w:t>Потребители тепловой энергии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62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Больница п. Южно-Степной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06.08.2019г.</w:t>
            </w:r>
          </w:p>
        </w:tc>
      </w:tr>
      <w:tr>
        <w:trPr/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62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МДОУ Детский сад п. Южно-Степной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06.08.2019г.</w:t>
            </w:r>
          </w:p>
        </w:tc>
      </w:tr>
      <w:tr>
        <w:trPr/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62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 xml:space="preserve">МОУ Южно-Степная СОШ 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06.08.2019г.</w:t>
            </w:r>
          </w:p>
        </w:tc>
      </w:tr>
      <w:tr>
        <w:trPr/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62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МУ ЦКС Южно-Степного с/поселения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06.08.2019г.</w:t>
            </w:r>
          </w:p>
        </w:tc>
      </w:tr>
      <w:tr>
        <w:trPr/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62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Пограничный пост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06.08.2019 г.</w:t>
            </w:r>
          </w:p>
        </w:tc>
      </w:tr>
    </w:tbl>
    <w:p>
      <w:pPr>
        <w:pStyle w:val="Style15"/>
        <w:ind w:left="1068" w:right="0" w:hanging="0"/>
        <w:rPr/>
      </w:pPr>
      <w:r>
        <w:rPr/>
        <w:t> </w:t>
      </w:r>
    </w:p>
    <w:p>
      <w:pPr>
        <w:pStyle w:val="Style15"/>
        <w:ind w:left="1428" w:right="0" w:hanging="360"/>
        <w:jc w:val="center"/>
        <w:rPr/>
      </w:pPr>
      <w:r>
        <w:rPr>
          <w:b/>
        </w:rPr>
        <w:t>3.      Перечень документов рассматриваемых комиссией.</w:t>
      </w:r>
    </w:p>
    <w:p>
      <w:pPr>
        <w:pStyle w:val="Style15"/>
        <w:spacing w:before="0" w:after="0"/>
        <w:ind w:left="0" w:right="0" w:hanging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3.1. По  теплоснабжающей организации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583"/>
        <w:gridCol w:w="9055"/>
      </w:tblGrid>
      <w:tr>
        <w:trPr/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1)</w:t>
            </w:r>
          </w:p>
        </w:tc>
        <w:tc>
          <w:tcPr>
            <w:tcW w:w="9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 xml:space="preserve">1.      График тепловых нагрузок по котельной 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2.      Тепловая схема котельной п. Южно-Степной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3)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 xml:space="preserve">3.      Утвержденные топливный режим и нормативные запасы топлива 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4)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4.      Договор на поставку газа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5)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5.      Утвержденный штат персонала ООО «ЖКХ Партнер»  и его укомплектованность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6)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6.      Утвержденный перечень необходимых инструкций, схем и других оперативных документов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7)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 xml:space="preserve">7.      Приказ о назначении лиц, ответственных за эксплуатацию котельной 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8)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8.      Протоколы проверки знаний лиц, ответственных за эксплуатацию котельной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9)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9.      Паспортные данные о годе ввода в эксплуатацию основных технических устройств, применяемых на котельной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10)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Отчеты по проведению пуско-наладочных и режимно-наладочных работ котельной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11)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Акты допуска узлов учета тепловой энергии и теплоносителя котельной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12)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Отчет по наладке водоподготовительной установки, водно-химического режима котельной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13)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Акты приемки газопроводов в эксплуатацию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14)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Порядок ликвидации аварийных ситуаций в системе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самоуправления.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15)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Перечень аварийного запаса расходных материалов и запасных частей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16)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Акты гидравлических испытаний оборудования котельной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17)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 и подтверждение его выполнении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18)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График планового ремонта оборудования источников тепловой энергии и подтверждение его выполнения.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19)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Документы, определяющие разграничение эксплуатационной ответственности между потребителями тепловой энергии и теплоснабжающей организацией</w:t>
            </w:r>
          </w:p>
        </w:tc>
      </w:tr>
      <w:tr>
        <w:trPr/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20)</w:t>
            </w:r>
          </w:p>
        </w:tc>
        <w:tc>
          <w:tcPr>
            <w:tcW w:w="90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      </w:r>
          </w:p>
        </w:tc>
      </w:tr>
    </w:tbl>
    <w:p>
      <w:pPr>
        <w:pStyle w:val="Style15"/>
        <w:spacing w:before="0" w:after="0"/>
        <w:ind w:left="0" w:right="0" w:hanging="0"/>
        <w:rPr/>
      </w:pPr>
      <w:r>
        <w:rPr/>
        <w:t xml:space="preserve">  </w:t>
      </w:r>
    </w:p>
    <w:p>
      <w:pPr>
        <w:pStyle w:val="Style15"/>
        <w:spacing w:before="0" w:after="0"/>
        <w:ind w:left="0" w:right="0" w:hanging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3.2. По теплосетевой организации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598"/>
        <w:gridCol w:w="9040"/>
      </w:tblGrid>
      <w:tr>
        <w:trPr/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1)</w:t>
            </w:r>
          </w:p>
        </w:tc>
        <w:tc>
          <w:tcPr>
            <w:tcW w:w="9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1.      График тепловых нагрузок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2)</w:t>
            </w:r>
          </w:p>
        </w:tc>
        <w:tc>
          <w:tcPr>
            <w:tcW w:w="9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2.      Схема тепловых сетей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3)</w:t>
            </w:r>
          </w:p>
        </w:tc>
        <w:tc>
          <w:tcPr>
            <w:tcW w:w="9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3.      Утвержденный перечень необходимых инструкций, схем и других оперативных документов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4)</w:t>
            </w:r>
          </w:p>
        </w:tc>
        <w:tc>
          <w:tcPr>
            <w:tcW w:w="9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4.      Приказ о назначении лиц, ответственных за эксплуатацию тепловых сетей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5)</w:t>
            </w:r>
          </w:p>
        </w:tc>
        <w:tc>
          <w:tcPr>
            <w:tcW w:w="9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5.      Протоколы проверки знаний лиц, ответственных за эксплуатацию тепловых сетей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6)</w:t>
            </w:r>
          </w:p>
        </w:tc>
        <w:tc>
          <w:tcPr>
            <w:tcW w:w="9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6.      Отчеты о наладке тепловых сетей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7)</w:t>
            </w:r>
          </w:p>
        </w:tc>
        <w:tc>
          <w:tcPr>
            <w:tcW w:w="9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7.      Акты допуска узлов учета тепловой энергии и теплоносителя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8)</w:t>
            </w:r>
          </w:p>
        </w:tc>
        <w:tc>
          <w:tcPr>
            <w:tcW w:w="9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8.      Паспортные данные о годе ввода в эксплуатацию тепловых сетей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9)</w:t>
            </w:r>
          </w:p>
        </w:tc>
        <w:tc>
          <w:tcPr>
            <w:tcW w:w="9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9.      Акты шурфовок тепловых сетей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10)</w:t>
            </w:r>
          </w:p>
        </w:tc>
        <w:tc>
          <w:tcPr>
            <w:tcW w:w="9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Утвержденные графики ограничения теплоснабжения при дефиците пропускной способности тепловых сетей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13)</w:t>
            </w:r>
          </w:p>
        </w:tc>
        <w:tc>
          <w:tcPr>
            <w:tcW w:w="9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Расчеты допустимого времени устранения аварийных нарушений теплоснабжения жилых домов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14)</w:t>
            </w:r>
          </w:p>
        </w:tc>
        <w:tc>
          <w:tcPr>
            <w:tcW w:w="9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Перечень аварийного запаса расходных материалов и запасных частей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15)</w:t>
            </w:r>
          </w:p>
        </w:tc>
        <w:tc>
          <w:tcPr>
            <w:tcW w:w="9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Акты гидравлических испытаний тепловых сетей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16)</w:t>
            </w:r>
          </w:p>
        </w:tc>
        <w:tc>
          <w:tcPr>
            <w:tcW w:w="9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Отчеты по тепловым испытаниям тепловых сетей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17)</w:t>
            </w:r>
          </w:p>
        </w:tc>
        <w:tc>
          <w:tcPr>
            <w:tcW w:w="9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Гидравлический режим тепловых сетей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18)</w:t>
            </w:r>
          </w:p>
        </w:tc>
        <w:tc>
          <w:tcPr>
            <w:tcW w:w="9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 и подтверждение его выполнении.</w:t>
            </w:r>
          </w:p>
        </w:tc>
      </w:tr>
      <w:tr>
        <w:trPr/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19)</w:t>
            </w:r>
          </w:p>
        </w:tc>
        <w:tc>
          <w:tcPr>
            <w:tcW w:w="90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График планового ремонта тепловых сетей и подтверждение его выполнения</w:t>
            </w:r>
          </w:p>
        </w:tc>
      </w:tr>
    </w:tbl>
    <w:p>
      <w:pPr>
        <w:pStyle w:val="Style15"/>
        <w:spacing w:before="0" w:after="0"/>
        <w:ind w:left="0" w:right="0" w:hanging="0"/>
        <w:rPr/>
      </w:pPr>
      <w:r>
        <w:rPr/>
        <w:t xml:space="preserve">  </w:t>
      </w:r>
    </w:p>
    <w:p>
      <w:pPr>
        <w:pStyle w:val="Style15"/>
        <w:spacing w:before="0" w:after="0"/>
        <w:ind w:left="0" w:right="0" w:hanging="0"/>
        <w:rPr/>
      </w:pPr>
      <w:r>
        <w:rPr/>
        <w:t xml:space="preserve">    </w:t>
      </w:r>
      <w:r>
        <w:rPr>
          <w:rFonts w:ascii="Times New Roman;serif" w:hAnsi="Times New Roman;serif"/>
          <w:sz w:val="24"/>
        </w:rPr>
        <w:t>3.3. По каждому потребителю тепловой энергии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594"/>
        <w:gridCol w:w="9044"/>
      </w:tblGrid>
      <w:tr>
        <w:trPr/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1)</w:t>
            </w:r>
          </w:p>
        </w:tc>
        <w:tc>
          <w:tcPr>
            <w:tcW w:w="9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1.        Акты промывки оборудования и коммуникаций теплопотребляющих установок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2)</w:t>
            </w:r>
          </w:p>
        </w:tc>
        <w:tc>
          <w:tcPr>
            <w:tcW w:w="904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2.        Справка о разработке эксплуатационных режимов, а так же мероприятий по их внедрению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3)</w:t>
            </w:r>
          </w:p>
        </w:tc>
        <w:tc>
          <w:tcPr>
            <w:tcW w:w="904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3.        Акт выполнения плана ремонтных работ и качество их выполнения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4)</w:t>
            </w:r>
          </w:p>
        </w:tc>
        <w:tc>
          <w:tcPr>
            <w:tcW w:w="904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4.        Акт состояния тепловых сетей, принадлежащих потребителю тепловой энергии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5)</w:t>
            </w:r>
          </w:p>
        </w:tc>
        <w:tc>
          <w:tcPr>
            <w:tcW w:w="904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5.        Акт состояния утепления зданий (чердаки, лестничные клетки, подвалы, двери и т.п.) и центральных тепловых пунктов, а так же индивидуальных тепловых пунктов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6)</w:t>
            </w:r>
          </w:p>
        </w:tc>
        <w:tc>
          <w:tcPr>
            <w:tcW w:w="904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6.        Акт состояния трубопроводов, арматуры и тепловой изоляции в пределах тепловых пунктов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7)</w:t>
            </w:r>
          </w:p>
        </w:tc>
        <w:tc>
          <w:tcPr>
            <w:tcW w:w="904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7.        Акт допуска в эксплуатацию приборов учета, акт наличия и состояния контрольно-измерительных приборов и автоматических регуляторов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8)</w:t>
            </w:r>
          </w:p>
        </w:tc>
        <w:tc>
          <w:tcPr>
            <w:tcW w:w="904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Акт работоспособности защиты систем теплопотребления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9)</w:t>
            </w:r>
          </w:p>
        </w:tc>
        <w:tc>
          <w:tcPr>
            <w:tcW w:w="904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Акт наличия паспортов тепловых энергоустановок, принципиальных схем и инструкций для обслуживающего персонала и соответствия их действительности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10)</w:t>
            </w:r>
          </w:p>
        </w:tc>
        <w:tc>
          <w:tcPr>
            <w:tcW w:w="904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8.        Акт отсутствия прямых соединений оборудования тепловых пунктов с водопроводом и канализацией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11)</w:t>
            </w:r>
          </w:p>
        </w:tc>
        <w:tc>
          <w:tcPr>
            <w:tcW w:w="904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>
                <w:rFonts w:ascii="Times New Roman;serif" w:hAnsi="Times New Roman;serif"/>
                <w:sz w:val="24"/>
              </w:rPr>
              <w:t>9.        Акт на плотность оборудования тепловых пунктов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12)</w:t>
            </w:r>
          </w:p>
        </w:tc>
        <w:tc>
          <w:tcPr>
            <w:tcW w:w="904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Справка теплоснабжающей организации об отсутствии задолженности за поставленную тепловую энергию</w:t>
            </w:r>
          </w:p>
        </w:tc>
      </w:tr>
      <w:tr>
        <w:trPr/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13)</w:t>
            </w:r>
          </w:p>
        </w:tc>
        <w:tc>
          <w:tcPr>
            <w:tcW w:w="904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0" w:right="0" w:hanging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Справка о надежности теплоснабжения потребителей тепловой энергии с учетом климатических условий в соответствии с критериями, приведенными в приложении №3 к Правилам оценки готовности к отопительному периоду.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LibreOffice/6.0.4.2$Windows_x86 LibreOffice_project/9b0d9b32d5dcda91d2f1a96dc04c645c450872bf</Application>
  <Pages>5</Pages>
  <Words>934</Words>
  <Characters>6608</Characters>
  <CharactersWithSpaces>7686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2019-05-30T12:55:01Z</dcterms:created>
  <dc:creator/>
  <dc:description/>
  <dc:language>ru-RU</dc:language>
  <cp:lastModifiedBy/>
  <dcterms:modified xsi:type="dcterms:W3CDTF">2019-05-30T12:58:52Z</dcterms:modified>
  <cp:revision>1</cp:revision>
  <dc:subject/>
  <dc:title/>
</cp:coreProperties>
</file>