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sz w:val="32"/>
        </w:rPr>
      </w:pPr>
      <w:r>
        <w:rPr>
          <w:sz w:val="32"/>
        </w:rPr>
        <w:t xml:space="preserve">МИНИСТЕРСТВО ТАРИФНОГО РЕГУЛИРОВАНИЯ </w:t>
      </w:r>
    </w:p>
    <w:p>
      <w:pPr>
        <w:pStyle w:val="Style15"/>
        <w:pBdr/>
        <w:rPr>
          <w:bdr w:val="single" w:sz="12" w:space="1" w:color="000000"/>
        </w:rPr>
      </w:pPr>
      <w:r>
        <w:rPr>
          <w:bdr w:val="single" w:sz="12" w:space="1" w:color="000000"/>
        </w:rPr>
        <w:t xml:space="preserve">               </w:t>
      </w:r>
      <w:r>
        <w:rPr>
          <w:sz w:val="32"/>
          <w:bdr w:val="single" w:sz="12" w:space="1" w:color="000000"/>
        </w:rPr>
        <w:t>ЭНЕРГЕТИКИ 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                                    </w:t>
      </w:r>
      <w:r>
        <w:rPr>
          <w:b/>
        </w:rPr>
        <w:t xml:space="preserve">ПОСТАНОВЛЕНИЕ 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  <w:r>
        <w:rPr/>
        <w:t>От 24 ноября 2015г.                                                                                №55/156</w:t>
      </w:r>
    </w:p>
    <w:p>
      <w:pPr>
        <w:pStyle w:val="Style15"/>
        <w:rPr/>
      </w:pPr>
      <w:r>
        <w:rPr/>
        <w:t xml:space="preserve">                                            </w:t>
      </w:r>
      <w:r>
        <w:rPr/>
        <w:t>город Челябинск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               </w:t>
      </w:r>
      <w:r>
        <w:rPr>
          <w:b/>
          <w:sz w:val="20"/>
        </w:rPr>
        <w:t>ОБ утверждении производственной программы и установлении тарифов</w:t>
      </w:r>
    </w:p>
    <w:p>
      <w:pPr>
        <w:pStyle w:val="Style15"/>
        <w:rPr/>
      </w:pPr>
      <w:r>
        <w:rPr/>
        <w:t xml:space="preserve">                  </w:t>
      </w:r>
      <w:r>
        <w:rPr>
          <w:b/>
          <w:sz w:val="20"/>
        </w:rPr>
        <w:t>на питьевую воду для МУП» ЖКХ» Южно-Степного сельского поселения,</w:t>
      </w:r>
    </w:p>
    <w:p>
      <w:pPr>
        <w:pStyle w:val="Style15"/>
        <w:rPr/>
      </w:pPr>
      <w:r>
        <w:rPr/>
        <w:t xml:space="preserve">                 </w:t>
      </w:r>
      <w:r>
        <w:rPr>
          <w:b/>
          <w:sz w:val="20"/>
        </w:rPr>
        <w:t xml:space="preserve">оказывающего услуги холодного водоснабжения потребителям Южно- Степного </w:t>
      </w:r>
    </w:p>
    <w:p>
      <w:pPr>
        <w:pStyle w:val="Style15"/>
        <w:rPr/>
      </w:pPr>
      <w:r>
        <w:rPr/>
        <w:t>                  </w:t>
      </w:r>
      <w:r>
        <w:rPr>
          <w:b/>
          <w:sz w:val="20"/>
        </w:rPr>
        <w:t xml:space="preserve">сельского поселения Карталинского муниципального района Челябинской области, 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 </w:t>
      </w:r>
      <w:r>
        <w:rPr>
          <w:b/>
          <w:sz w:val="20"/>
        </w:rPr>
        <w:t>на 2016-2018 годы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  <w:r>
        <w:rPr/>
        <w:t>В соответствии с Федеральным  законом « О водоснабжении и водоотведении», постановлениями Правительства Российской Федерации от 13 мая 2013г. № 406 « О государственном регулировании тарифов в сфере  водоснабжения и водоотведения», от 29 июля 2013г. № 641 «об инвестиционных и производственных программах организаций, осуществляющих деятельность в сфере водоснабжения и водоотведения», приказами Федеральной службы по тарифам от 27 декабря 2013г. № 1746-э» Об  утверждении Методических указаний по расчету регулируемых тарифов в сфере водоснабжения и водоотведения», от 16 июля 2014г. № 1154-э « Об утверждении Регламента установления регулируемых тарифов в сфере водоснабжения и водоотведения», приказом Министерства строительства и жилищно-коммунального хозяйства Российской Федерации от 4 апреля 2014г. № 162/пр. «Об  утверждении перечня показателей надежности, качества, энергетической эффективности объектов централизованных систем горячего водоснабжения,  холодного водоснабжения и (или) водоотведения, порядка и правил определения плановых значений и фактических значений таких показателей», постановлением Губернатора Челябинской области от 31 декабря 2014г. №300 « Об утверждении Положения, структуры и штатной численности Министерства  тарифного регулирования и энергетики Челябинской области» и на  основании протокола заседания Правления Министерства тарифного регулирования и энергетики Челябинской области от 24 ноября 2015г. № 55 Министерство тарифного регулирования и энергетики Челябинской области</w:t>
      </w:r>
    </w:p>
    <w:p>
      <w:pPr>
        <w:pStyle w:val="Style15"/>
        <w:rPr/>
      </w:pPr>
      <w:r>
        <w:rPr/>
        <w:t>ПОСТНАНОВЛЯЕТ:</w:t>
      </w:r>
    </w:p>
    <w:p>
      <w:pPr>
        <w:pStyle w:val="Style15"/>
        <w:rPr/>
      </w:pPr>
      <w:r>
        <w:rPr/>
        <w:t xml:space="preserve">       </w:t>
      </w:r>
      <w:r>
        <w:rPr/>
        <w:t>1.Утвердить производственную программу МУП»ЖКХ» Южно-Степного сельского</w:t>
      </w:r>
    </w:p>
    <w:p>
      <w:pPr>
        <w:pStyle w:val="Style15"/>
        <w:rPr/>
      </w:pPr>
      <w:r>
        <w:rPr/>
        <w:t>поселения, осуществляющего холодное  водоснабжение потребителям Южно-Степного сельского поселения Карталинского муниципального района Челябинской области, согласно Приложению 1.</w:t>
      </w:r>
    </w:p>
    <w:p>
      <w:pPr>
        <w:pStyle w:val="Style15"/>
        <w:rPr/>
      </w:pPr>
      <w:r>
        <w:rPr/>
        <w:t xml:space="preserve">       </w:t>
      </w:r>
      <w:r>
        <w:rPr/>
        <w:t>2Установить тарифы на питьевую воду и долгосрочные параметры регулирования тарифов для МУП» ЖКХ» Южно-Степного сельского поселения, оказывающего услуги холодного водоснабжения  потребителям Южно-Степного сельского поселения Карталинского муниципального района Челябинской области, на 2016-2018 годы согласно</w:t>
      </w:r>
    </w:p>
    <w:p>
      <w:pPr>
        <w:pStyle w:val="Style15"/>
        <w:rPr/>
      </w:pPr>
      <w:r>
        <w:rPr/>
        <w:t>Приложению 2.</w:t>
      </w:r>
    </w:p>
    <w:p>
      <w:pPr>
        <w:pStyle w:val="Style15"/>
        <w:rPr/>
      </w:pPr>
      <w:r>
        <w:rPr/>
        <w:t xml:space="preserve">        </w:t>
      </w:r>
      <w:r>
        <w:rPr/>
        <w:t>3.Тарифы,установленные в пункте 2, действуют согласно календарной разбивке, указанной в приложении 2.</w:t>
      </w:r>
    </w:p>
    <w:p>
      <w:pPr>
        <w:pStyle w:val="Style15"/>
        <w:rPr/>
      </w:pPr>
      <w:r>
        <w:rPr/>
        <w:t xml:space="preserve">        </w:t>
      </w:r>
      <w:r>
        <w:rPr/>
        <w:t>4. Настоящее постановление вступает в силу со дня его подписания.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Министр                                                                 Т.В.Кучиц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             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2"/>
        </w:rPr>
        <w:t>Приложение 2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sz w:val="22"/>
        </w:rPr>
        <w:t xml:space="preserve">К постановлению Министерства </w:t>
      </w:r>
    </w:p>
    <w:p>
      <w:pPr>
        <w:pStyle w:val="Style15"/>
        <w:rPr/>
      </w:pPr>
      <w:r>
        <w:rPr/>
        <w:t>                                                                                                  </w:t>
      </w:r>
      <w:r>
        <w:rPr>
          <w:sz w:val="22"/>
        </w:rPr>
        <w:t xml:space="preserve">Тарифного  регулирования и 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sz w:val="22"/>
        </w:rPr>
        <w:t>энергетики Челябинской области</w:t>
      </w:r>
    </w:p>
    <w:p>
      <w:pPr>
        <w:pStyle w:val="Style15"/>
        <w:rPr/>
      </w:pPr>
      <w:r>
        <w:rPr/>
        <w:t>                                                                                                  </w:t>
      </w:r>
      <w:r>
        <w:rPr>
          <w:sz w:val="22"/>
        </w:rPr>
        <w:t>от 24 ноября 2015г №55/156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 xml:space="preserve">    </w:t>
      </w:r>
      <w:r>
        <w:rPr>
          <w:b/>
          <w:sz w:val="22"/>
        </w:rPr>
        <w:t>Тарифы на питьевую воду для МУП»ЖКХ» Южно-Степного сельского поселения,</w:t>
      </w:r>
    </w:p>
    <w:p>
      <w:pPr>
        <w:pStyle w:val="Style15"/>
        <w:rPr/>
      </w:pPr>
      <w:r>
        <w:rPr/>
        <w:t xml:space="preserve">     </w:t>
      </w:r>
      <w:r>
        <w:rPr>
          <w:b/>
          <w:sz w:val="22"/>
        </w:rPr>
        <w:t>Оказывающего услуги  холодного водоснабжения потребителям Южно-Степного</w:t>
      </w:r>
    </w:p>
    <w:p>
      <w:pPr>
        <w:pStyle w:val="Style15"/>
        <w:rPr/>
      </w:pPr>
      <w:r>
        <w:rPr/>
        <w:t xml:space="preserve">     </w:t>
      </w:r>
      <w:r>
        <w:rPr>
          <w:b/>
          <w:sz w:val="22"/>
        </w:rPr>
        <w:t>Сельского поселения Карталинского муниципального района Челябинской области,</w:t>
      </w:r>
    </w:p>
    <w:p>
      <w:pPr>
        <w:pStyle w:val="Style15"/>
        <w:rPr/>
      </w:pPr>
      <w:r>
        <w:rPr/>
        <w:t xml:space="preserve">                                                       </w:t>
      </w:r>
      <w:r>
        <w:rPr>
          <w:b/>
          <w:sz w:val="22"/>
        </w:rPr>
        <w:t xml:space="preserve">На 2016-2018 годы  </w:t>
      </w:r>
    </w:p>
    <w:p>
      <w:pPr>
        <w:pStyle w:val="Style15"/>
        <w:rPr/>
      </w:pPr>
      <w:r>
        <w:rPr/>
        <w:t> </w:t>
      </w:r>
    </w:p>
    <w:tbl>
      <w:tblPr>
        <w:tblW w:w="903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35"/>
        <w:gridCol w:w="2340"/>
        <w:gridCol w:w="3420"/>
        <w:gridCol w:w="2535"/>
      </w:tblGrid>
      <w:tr>
        <w:trPr/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  <w:r>
              <w:rPr/>
              <w:t>Годы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Долгосрочного</w:t>
            </w:r>
          </w:p>
          <w:p>
            <w:pPr>
              <w:pStyle w:val="Style19"/>
              <w:spacing w:before="0" w:after="283"/>
              <w:rPr/>
            </w:pPr>
            <w:r>
              <w:rPr/>
              <w:t>Периода</w:t>
            </w:r>
          </w:p>
          <w:p>
            <w:pPr>
              <w:pStyle w:val="Style19"/>
              <w:spacing w:before="0" w:after="283"/>
              <w:rPr/>
            </w:pPr>
            <w:r>
              <w:rPr/>
              <w:t>регулирования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    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  </w:t>
            </w:r>
            <w:r>
              <w:rPr/>
              <w:t>Периоды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  <w:r>
              <w:rPr/>
              <w:t>Календарной разбивки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Тарифы,руб/куб.м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На питьевую воду</w:t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НДС не предусмотрен*</w:t>
            </w:r>
          </w:p>
        </w:tc>
      </w:tr>
      <w:tr>
        <w:trPr/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               </w:t>
            </w:r>
            <w:r>
              <w:rPr/>
              <w:t>3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    </w:t>
            </w:r>
            <w:r>
              <w:rPr/>
              <w:t>4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234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1-й год(2016)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 01.01.2016г по 30.06.2016г.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9,46</w:t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 01.07.2016г. по 31.12.2016г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9,82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234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2-й год (2017)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 01.01.2017г по 30.06.2017г.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9,82</w:t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 01.07.2017г. по 31.12.2017г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10,34</w:t>
            </w:r>
          </w:p>
        </w:tc>
      </w:tr>
      <w:tr>
        <w:trPr/>
        <w:tc>
          <w:tcPr>
            <w:tcW w:w="7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2340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3-й год(2018)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 01.01.2018г по 30.06.2018г.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10,34</w:t>
            </w:r>
          </w:p>
        </w:tc>
      </w:tr>
      <w:tr>
        <w:trPr/>
        <w:tc>
          <w:tcPr>
            <w:tcW w:w="7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С 01.07.2018г. по 31.12.2018г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10,85</w:t>
            </w:r>
          </w:p>
        </w:tc>
      </w:tr>
    </w:tbl>
    <w:p>
      <w:pPr>
        <w:pStyle w:val="Style15"/>
        <w:ind w:left="540" w:right="0" w:hanging="360"/>
        <w:rPr/>
      </w:pPr>
      <w:r>
        <w:rPr>
          <w:rFonts w:ascii="Symbol" w:hAnsi="Symbol"/>
          <w:sz w:val="18"/>
        </w:rPr>
        <w:t xml:space="preserve">·          </w:t>
      </w:r>
      <w:r>
        <w:rPr>
          <w:sz w:val="18"/>
        </w:rPr>
        <w:t xml:space="preserve">организация применяет упрощенную систему налогооблажения и не признается </w:t>
      </w:r>
    </w:p>
    <w:p>
      <w:pPr>
        <w:pStyle w:val="Style15"/>
        <w:ind w:left="540" w:right="0" w:hanging="0"/>
        <w:rPr>
          <w:sz w:val="18"/>
        </w:rPr>
      </w:pPr>
      <w:r>
        <w:rPr>
          <w:sz w:val="18"/>
        </w:rPr>
        <w:t xml:space="preserve">плательщиком налога на добавленную стоимость (НДС) в соответствии с главой 26.2 Налогового кодекса Российской Федерации. </w:t>
      </w:r>
    </w:p>
    <w:p>
      <w:pPr>
        <w:pStyle w:val="Style15"/>
        <w:ind w:left="540" w:right="0" w:hanging="0"/>
        <w:rPr>
          <w:b/>
          <w:sz w:val="22"/>
        </w:rPr>
      </w:pPr>
      <w:r>
        <w:rPr>
          <w:b/>
          <w:sz w:val="22"/>
        </w:rPr>
        <w:t>Долгосрочные параметры регулирования тарифов на питьевую воду, определяемые на 2016-2018 годы при установлении тарифов с использованием метода индексации</w:t>
      </w:r>
    </w:p>
    <w:tbl>
      <w:tblPr>
        <w:tblW w:w="895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80"/>
        <w:gridCol w:w="3270"/>
        <w:gridCol w:w="1620"/>
        <w:gridCol w:w="3285"/>
      </w:tblGrid>
      <w:tr>
        <w:trPr/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2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Наименование долгосрочных параметров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Ед.измерения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Значения долгосрочных параметров по видам тарифов</w:t>
            </w:r>
          </w:p>
        </w:tc>
      </w:tr>
      <w:tr>
        <w:trPr/>
        <w:tc>
          <w:tcPr>
            <w:tcW w:w="7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  <w:r>
              <w:rPr/>
              <w:t>На питьевую алду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4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Тыс.рублей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 xml:space="preserve">   </w:t>
            </w:r>
            <w:r>
              <w:rPr>
                <w:sz w:val="20"/>
              </w:rPr>
              <w:t>203,4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Нормативный уровень прибыли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 xml:space="preserve">Показатели энергосбережения и энергетической эффективности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4,1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Уровень потерь воды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>
        <w:trPr/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4.2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Удельный расход электрической энергии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кВтч/куб.м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>
                <w:sz w:val="20"/>
              </w:rPr>
            </w:pPr>
            <w:r>
              <w:rPr>
                <w:sz w:val="20"/>
              </w:rPr>
              <w:t>0,875</w:t>
            </w:r>
          </w:p>
        </w:tc>
      </w:tr>
    </w:tbl>
    <w:p>
      <w:pPr>
        <w:pStyle w:val="Style15"/>
        <w:ind w:left="540" w:right="0" w:hanging="0"/>
        <w:rPr/>
      </w:pPr>
      <w:r>
        <w:rPr/>
        <w:t> </w:t>
      </w:r>
    </w:p>
    <w:p>
      <w:pPr>
        <w:pStyle w:val="Style15"/>
        <w:ind w:left="540" w:right="0" w:hanging="0"/>
        <w:rPr/>
      </w:pPr>
      <w:r>
        <w:rPr/>
        <w:t> </w:t>
      </w:r>
      <w:r>
        <w:rPr/>
        <w:t>Министр                                              Т.В. Кучиц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516</Words>
  <Characters>3744</Characters>
  <CharactersWithSpaces>5293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2019-05-15T16:55:43Z</dcterms:created>
  <dc:creator/>
  <dc:description/>
  <dc:language>ru-RU</dc:language>
  <cp:lastModifiedBy/>
  <dcterms:modified xsi:type="dcterms:W3CDTF">2019-05-15T16:56:05Z</dcterms:modified>
  <cp:revision>1</cp:revision>
  <dc:subject/>
  <dc:title/>
</cp:coreProperties>
</file>